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1CBFD">
      <w:pPr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D9D1879">
      <w:pPr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关于公布2025-2026学年学生社团业务指导</w:t>
      </w:r>
    </w:p>
    <w:p w14:paraId="5416C370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单位认定及指导教师聘任名单的通知</w:t>
      </w:r>
    </w:p>
    <w:p w14:paraId="370F63D7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22A06A54"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各部门、单位：</w:t>
      </w:r>
    </w:p>
    <w:p w14:paraId="7F1BD56E">
      <w:pPr>
        <w:spacing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为深入贯彻落实立德树人根本任务，进一步提升学生社团管理科学化、规范化水平，充分发挥业务指导单位专业支撑作用与指导教师育人引领功能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根据《济宁医学院学生社团建设管理办法》（济医党字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〔2022〕18号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）相关规定，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学校严格按照自主申报、单位推荐、资格审查、双向选择等程序，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auto"/>
        </w:rPr>
        <w:t>组织开展学生社团业务指导单位认定及指导教师聘任工作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。经学</w:t>
      </w:r>
      <w:r>
        <w:rPr>
          <w:rFonts w:hint="eastAsia" w:ascii="仿宋_GB2312" w:hAnsi="仿宋_GB2312" w:eastAsia="仿宋_GB2312" w:cs="仿宋_GB2312"/>
          <w:sz w:val="32"/>
          <w:szCs w:val="32"/>
        </w:rPr>
        <w:t>校学生社团建设管理委员会审定，现将2025-2026学年学生社团业务指导单位认定名单及指导教师聘任名单予以公布。</w:t>
      </w:r>
    </w:p>
    <w:p w14:paraId="69D7D0A6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</w:p>
    <w:p w14:paraId="176C5B88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028A1D">
      <w:pPr>
        <w:spacing w:after="0" w:line="560" w:lineRule="exact"/>
        <w:ind w:left="1629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附件：2025-2026学年学生社团业务指导单位认定及学生社团指导教师聘任名单</w:t>
      </w:r>
    </w:p>
    <w:p w14:paraId="3ADF455E">
      <w:pPr>
        <w:spacing w:after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</w:p>
    <w:p w14:paraId="2BF2FFC3"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1D26DB44">
      <w:pPr>
        <w:spacing w:after="0"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委</w:t>
      </w:r>
    </w:p>
    <w:p w14:paraId="61210687">
      <w:pPr>
        <w:wordWrap w:val="0"/>
        <w:spacing w:after="0"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2025年9月17日</w:t>
      </w:r>
    </w:p>
    <w:p w14:paraId="23B7B116">
      <w:pPr>
        <w:wordWrap w:val="0"/>
        <w:spacing w:after="0" w:line="56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EB3DC7">
      <w:pPr>
        <w:widowControl/>
        <w:kinsoku w:val="0"/>
        <w:autoSpaceDE w:val="0"/>
        <w:autoSpaceDN w:val="0"/>
        <w:adjustRightInd w:val="0"/>
        <w:snapToGrid w:val="0"/>
        <w:spacing w:after="0" w:line="560" w:lineRule="exact"/>
        <w:rPr>
          <w:rFonts w:hint="eastAsia" w:ascii="黑体" w:hAnsi="黑体" w:eastAsia="黑体" w:cs="黑体"/>
          <w:spacing w:val="-2"/>
          <w:sz w:val="32"/>
          <w:szCs w:val="32"/>
        </w:rPr>
      </w:pPr>
      <w:r>
        <w:rPr>
          <w:rFonts w:hint="eastAsia" w:ascii="黑体" w:hAnsi="黑体" w:eastAsia="黑体" w:cs="黑体"/>
          <w:spacing w:val="-3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2"/>
          <w:sz w:val="32"/>
          <w:szCs w:val="32"/>
        </w:rPr>
        <w:t>件</w:t>
      </w:r>
    </w:p>
    <w:p w14:paraId="44C81D33">
      <w:pPr>
        <w:widowControl/>
        <w:kinsoku w:val="0"/>
        <w:autoSpaceDE w:val="0"/>
        <w:autoSpaceDN w:val="0"/>
        <w:adjustRightInd w:val="0"/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2025-2026学年学生社团业务指导单位认定</w:t>
      </w:r>
    </w:p>
    <w:p w14:paraId="02C80B96">
      <w:pPr>
        <w:widowControl/>
        <w:kinsoku w:val="0"/>
        <w:autoSpaceDE w:val="0"/>
        <w:autoSpaceDN w:val="0"/>
        <w:adjustRightInd w:val="0"/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及指导教师聘任名单</w:t>
      </w:r>
    </w:p>
    <w:p w14:paraId="5F4B0B72">
      <w:pPr>
        <w:widowControl/>
        <w:kinsoku w:val="0"/>
        <w:autoSpaceDE w:val="0"/>
        <w:autoSpaceDN w:val="0"/>
        <w:adjustRightInd w:val="0"/>
        <w:spacing w:after="0" w:line="560" w:lineRule="exact"/>
        <w:jc w:val="center"/>
        <w:rPr>
          <w:rFonts w:hint="eastAsia" w:ascii="楷体_GB2312" w:hAnsi="楷体_GB2312" w:eastAsia="楷体_GB2312" w:cs="楷体_GB2312"/>
          <w:spacing w:val="7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7"/>
          <w:sz w:val="32"/>
          <w:szCs w:val="32"/>
        </w:rPr>
        <w:t>（排名不分先后）</w:t>
      </w:r>
    </w:p>
    <w:tbl>
      <w:tblPr>
        <w:tblStyle w:val="15"/>
        <w:tblpPr w:leftFromText="180" w:rightFromText="180" w:vertAnchor="text" w:horzAnchor="page" w:tblpXSpec="center" w:tblpY="209"/>
        <w:tblOverlap w:val="never"/>
        <w:tblW w:w="5323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3"/>
        <w:gridCol w:w="2638"/>
        <w:gridCol w:w="1744"/>
        <w:gridCol w:w="2200"/>
        <w:gridCol w:w="1477"/>
      </w:tblGrid>
      <w:tr w14:paraId="5847E5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723" w:type="pct"/>
            <w:vAlign w:val="center"/>
          </w:tcPr>
          <w:p w14:paraId="5D030495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28"/>
                <w:szCs w:val="28"/>
              </w:rPr>
              <w:t>校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"/>
                <w:sz w:val="28"/>
                <w:szCs w:val="28"/>
              </w:rPr>
              <w:t>区</w:t>
            </w:r>
          </w:p>
        </w:tc>
        <w:tc>
          <w:tcPr>
            <w:tcW w:w="1399" w:type="pct"/>
            <w:vAlign w:val="center"/>
          </w:tcPr>
          <w:p w14:paraId="57D39EBF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  <w:t>社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6"/>
                <w:sz w:val="28"/>
                <w:szCs w:val="28"/>
              </w:rPr>
              <w:t>团名称</w:t>
            </w:r>
          </w:p>
        </w:tc>
        <w:tc>
          <w:tcPr>
            <w:tcW w:w="925" w:type="pct"/>
            <w:vAlign w:val="center"/>
          </w:tcPr>
          <w:p w14:paraId="6C7DDE5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  <w:t>社团类别</w:t>
            </w:r>
          </w:p>
        </w:tc>
        <w:tc>
          <w:tcPr>
            <w:tcW w:w="1167" w:type="pct"/>
            <w:vAlign w:val="center"/>
          </w:tcPr>
          <w:p w14:paraId="33C7074C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  <w:t>业务指导单位</w:t>
            </w:r>
          </w:p>
        </w:tc>
        <w:tc>
          <w:tcPr>
            <w:tcW w:w="783" w:type="pct"/>
            <w:vAlign w:val="center"/>
          </w:tcPr>
          <w:p w14:paraId="756FACDF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"/>
                <w:sz w:val="28"/>
                <w:szCs w:val="28"/>
              </w:rPr>
              <w:t>指导教师</w:t>
            </w:r>
          </w:p>
        </w:tc>
      </w:tr>
      <w:tr w14:paraId="28130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723" w:type="pct"/>
            <w:vMerge w:val="restart"/>
            <w:vAlign w:val="center"/>
          </w:tcPr>
          <w:p w14:paraId="592A9E8D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太白湖</w:t>
            </w:r>
          </w:p>
          <w:p w14:paraId="531172F8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校区</w:t>
            </w:r>
          </w:p>
        </w:tc>
        <w:tc>
          <w:tcPr>
            <w:tcW w:w="1399" w:type="pct"/>
            <w:vAlign w:val="center"/>
          </w:tcPr>
          <w:p w14:paraId="5F74759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健康科普协会</w:t>
            </w:r>
          </w:p>
        </w:tc>
        <w:tc>
          <w:tcPr>
            <w:tcW w:w="925" w:type="pct"/>
            <w:vAlign w:val="center"/>
          </w:tcPr>
          <w:p w14:paraId="11CF6E4F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学术科技类</w:t>
            </w:r>
          </w:p>
        </w:tc>
        <w:tc>
          <w:tcPr>
            <w:tcW w:w="1167" w:type="pct"/>
            <w:vAlign w:val="center"/>
          </w:tcPr>
          <w:p w14:paraId="5DC7815F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基础医学院</w:t>
            </w:r>
          </w:p>
        </w:tc>
        <w:tc>
          <w:tcPr>
            <w:tcW w:w="783" w:type="pct"/>
            <w:vAlign w:val="center"/>
          </w:tcPr>
          <w:p w14:paraId="49BB0DF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柳新平</w:t>
            </w:r>
          </w:p>
        </w:tc>
      </w:tr>
      <w:tr w14:paraId="48680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723" w:type="pct"/>
            <w:vMerge w:val="continue"/>
            <w:vAlign w:val="center"/>
          </w:tcPr>
          <w:p w14:paraId="7D11E7B8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3"/>
                <w:sz w:val="28"/>
                <w:szCs w:val="28"/>
              </w:rPr>
            </w:pPr>
          </w:p>
        </w:tc>
        <w:tc>
          <w:tcPr>
            <w:tcW w:w="1399" w:type="pct"/>
            <w:vAlign w:val="center"/>
          </w:tcPr>
          <w:p w14:paraId="32F38457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武术协会</w:t>
            </w:r>
          </w:p>
        </w:tc>
        <w:tc>
          <w:tcPr>
            <w:tcW w:w="925" w:type="pct"/>
            <w:vAlign w:val="center"/>
          </w:tcPr>
          <w:p w14:paraId="4328D93E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文化体育类</w:t>
            </w:r>
          </w:p>
        </w:tc>
        <w:tc>
          <w:tcPr>
            <w:tcW w:w="1167" w:type="pct"/>
            <w:vAlign w:val="center"/>
          </w:tcPr>
          <w:p w14:paraId="1122FEFC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基础医学院</w:t>
            </w:r>
          </w:p>
        </w:tc>
        <w:tc>
          <w:tcPr>
            <w:tcW w:w="783" w:type="pct"/>
            <w:vAlign w:val="center"/>
          </w:tcPr>
          <w:p w14:paraId="069CCCC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朱猛</w:t>
            </w:r>
          </w:p>
        </w:tc>
      </w:tr>
      <w:tr w14:paraId="43681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723" w:type="pct"/>
            <w:vMerge w:val="restart"/>
            <w:vAlign w:val="center"/>
          </w:tcPr>
          <w:p w14:paraId="59AF419F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日照</w:t>
            </w:r>
          </w:p>
          <w:p w14:paraId="3375674D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>校区</w:t>
            </w:r>
          </w:p>
        </w:tc>
        <w:tc>
          <w:tcPr>
            <w:tcW w:w="1399" w:type="pct"/>
            <w:vAlign w:val="center"/>
          </w:tcPr>
          <w:p w14:paraId="3A08B616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英语爱好者协会</w:t>
            </w:r>
          </w:p>
        </w:tc>
        <w:tc>
          <w:tcPr>
            <w:tcW w:w="925" w:type="pct"/>
            <w:vAlign w:val="center"/>
          </w:tcPr>
          <w:p w14:paraId="7B3E3DE9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学术科技类</w:t>
            </w:r>
          </w:p>
        </w:tc>
        <w:tc>
          <w:tcPr>
            <w:tcW w:w="1167" w:type="pct"/>
            <w:vAlign w:val="center"/>
          </w:tcPr>
          <w:p w14:paraId="1DD9FE45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外国语学院</w:t>
            </w:r>
          </w:p>
        </w:tc>
        <w:tc>
          <w:tcPr>
            <w:tcW w:w="783" w:type="pct"/>
            <w:vAlign w:val="center"/>
          </w:tcPr>
          <w:p w14:paraId="4EFC62D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刘清瑞</w:t>
            </w:r>
          </w:p>
        </w:tc>
      </w:tr>
      <w:tr w14:paraId="44EE7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723" w:type="pct"/>
            <w:vMerge w:val="continue"/>
            <w:vAlign w:val="center"/>
          </w:tcPr>
          <w:p w14:paraId="0B385656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</w:p>
        </w:tc>
        <w:tc>
          <w:tcPr>
            <w:tcW w:w="1399" w:type="pct"/>
            <w:vAlign w:val="center"/>
          </w:tcPr>
          <w:p w14:paraId="0B54D7CB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科技创新协会</w:t>
            </w:r>
          </w:p>
        </w:tc>
        <w:tc>
          <w:tcPr>
            <w:tcW w:w="925" w:type="pct"/>
            <w:vAlign w:val="center"/>
          </w:tcPr>
          <w:p w14:paraId="50E74336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学术科技类</w:t>
            </w:r>
          </w:p>
        </w:tc>
        <w:tc>
          <w:tcPr>
            <w:tcW w:w="1167" w:type="pct"/>
            <w:vAlign w:val="center"/>
          </w:tcPr>
          <w:p w14:paraId="530A5EDC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管理学院</w:t>
            </w:r>
          </w:p>
        </w:tc>
        <w:tc>
          <w:tcPr>
            <w:tcW w:w="783" w:type="pct"/>
            <w:vAlign w:val="center"/>
          </w:tcPr>
          <w:p w14:paraId="4FE5FB82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马国华</w:t>
            </w:r>
          </w:p>
        </w:tc>
      </w:tr>
      <w:tr w14:paraId="24D273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723" w:type="pct"/>
            <w:vMerge w:val="continue"/>
            <w:vAlign w:val="center"/>
          </w:tcPr>
          <w:p w14:paraId="0C8CBA84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</w:p>
        </w:tc>
        <w:tc>
          <w:tcPr>
            <w:tcW w:w="1399" w:type="pct"/>
            <w:vAlign w:val="center"/>
          </w:tcPr>
          <w:p w14:paraId="0DDC148D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书画协会</w:t>
            </w:r>
          </w:p>
        </w:tc>
        <w:tc>
          <w:tcPr>
            <w:tcW w:w="925" w:type="pct"/>
            <w:vAlign w:val="center"/>
          </w:tcPr>
          <w:p w14:paraId="4F0D1A59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文化体育类</w:t>
            </w:r>
          </w:p>
        </w:tc>
        <w:tc>
          <w:tcPr>
            <w:tcW w:w="1167" w:type="pct"/>
            <w:vAlign w:val="center"/>
          </w:tcPr>
          <w:p w14:paraId="44B899DB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外国语学院</w:t>
            </w:r>
          </w:p>
        </w:tc>
        <w:tc>
          <w:tcPr>
            <w:tcW w:w="783" w:type="pct"/>
            <w:vAlign w:val="center"/>
          </w:tcPr>
          <w:p w14:paraId="78F33202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顾文</w:t>
            </w:r>
          </w:p>
        </w:tc>
      </w:tr>
      <w:tr w14:paraId="24CEC4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723" w:type="pct"/>
            <w:vMerge w:val="continue"/>
            <w:vAlign w:val="center"/>
          </w:tcPr>
          <w:p w14:paraId="38A8001A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</w:p>
        </w:tc>
        <w:tc>
          <w:tcPr>
            <w:tcW w:w="1399" w:type="pct"/>
            <w:vAlign w:val="center"/>
          </w:tcPr>
          <w:p w14:paraId="2018C668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乒乓球协会</w:t>
            </w:r>
          </w:p>
        </w:tc>
        <w:tc>
          <w:tcPr>
            <w:tcW w:w="925" w:type="pct"/>
            <w:vAlign w:val="center"/>
          </w:tcPr>
          <w:p w14:paraId="718038E7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文化体育类</w:t>
            </w:r>
          </w:p>
        </w:tc>
        <w:tc>
          <w:tcPr>
            <w:tcW w:w="1167" w:type="pct"/>
            <w:vAlign w:val="center"/>
          </w:tcPr>
          <w:p w14:paraId="5F13EDCD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生命科学学院</w:t>
            </w:r>
          </w:p>
        </w:tc>
        <w:tc>
          <w:tcPr>
            <w:tcW w:w="783" w:type="pct"/>
            <w:vAlign w:val="center"/>
          </w:tcPr>
          <w:p w14:paraId="1A96C34B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朱峰</w:t>
            </w:r>
          </w:p>
        </w:tc>
      </w:tr>
      <w:tr w14:paraId="52C21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723" w:type="pct"/>
            <w:vMerge w:val="continue"/>
            <w:vAlign w:val="center"/>
          </w:tcPr>
          <w:p w14:paraId="2B4F7BB3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</w:pPr>
          </w:p>
        </w:tc>
        <w:tc>
          <w:tcPr>
            <w:tcW w:w="1399" w:type="pct"/>
            <w:vAlign w:val="center"/>
          </w:tcPr>
          <w:p w14:paraId="2349550D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篮球协会</w:t>
            </w:r>
          </w:p>
        </w:tc>
        <w:tc>
          <w:tcPr>
            <w:tcW w:w="925" w:type="pct"/>
            <w:vAlign w:val="center"/>
          </w:tcPr>
          <w:p w14:paraId="4F509117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文化体育类</w:t>
            </w:r>
          </w:p>
        </w:tc>
        <w:tc>
          <w:tcPr>
            <w:tcW w:w="1167" w:type="pct"/>
            <w:vAlign w:val="center"/>
          </w:tcPr>
          <w:p w14:paraId="60DAF020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药学院</w:t>
            </w:r>
          </w:p>
        </w:tc>
        <w:tc>
          <w:tcPr>
            <w:tcW w:w="783" w:type="pct"/>
            <w:vAlign w:val="center"/>
          </w:tcPr>
          <w:p w14:paraId="4A3AF47C">
            <w:pPr>
              <w:widowControl/>
              <w:kinsoku w:val="0"/>
              <w:autoSpaceDE w:val="0"/>
              <w:autoSpaceDN w:val="0"/>
              <w:adjustRightInd w:val="0"/>
              <w:spacing w:after="0" w:line="560" w:lineRule="exact"/>
              <w:jc w:val="center"/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8"/>
                <w:szCs w:val="28"/>
              </w:rPr>
              <w:t>石茂健</w:t>
            </w:r>
          </w:p>
        </w:tc>
      </w:tr>
    </w:tbl>
    <w:p w14:paraId="7A47410A">
      <w:pPr>
        <w:spacing w:after="0" w:line="560" w:lineRule="exact"/>
      </w:pPr>
    </w:p>
    <w:p w14:paraId="1C707E0D">
      <w:pPr>
        <w:spacing w:after="0" w:line="560" w:lineRule="exact"/>
        <w:rPr>
          <w:rFonts w:hint="eastAsia" w:ascii="方正小标宋简体" w:eastAsia="方正小标宋简体"/>
          <w:sz w:val="44"/>
          <w:szCs w:val="44"/>
        </w:rPr>
      </w:pP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2098" w:right="1474" w:bottom="1985" w:left="1588" w:header="851" w:footer="510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eastAsia="仿宋_GB2312"/>
        <w:sz w:val="28"/>
        <w:szCs w:val="28"/>
      </w:rPr>
      <w:id w:val="-656602043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 w14:paraId="2BB7CD5C">
        <w:pPr>
          <w:pStyle w:val="11"/>
          <w:jc w:val="center"/>
          <w:rPr>
            <w:rFonts w:hint="eastAsia"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hint="eastAsia" w:ascii="仿宋_GB2312" w:eastAsia="仿宋_GB2312"/>
            <w:sz w:val="28"/>
            <w:szCs w:val="28"/>
            <w:lang w:val="zh-CN"/>
          </w:rPr>
          <w:t>2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 w14:paraId="16FA04C8">
    <w:pPr>
      <w:pStyle w:val="1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4283E9">
    <w:pPr>
      <w:pStyle w:val="11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743BF">
    <w:pPr>
      <w:pStyle w:val="1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66082">
    <w:pPr>
      <w:pStyle w:val="12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2CF74">
    <w:pPr>
      <w:pStyle w:val="12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HorizontalSpacing w:val="11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B8"/>
    <w:rsid w:val="00255143"/>
    <w:rsid w:val="00322585"/>
    <w:rsid w:val="003F40AD"/>
    <w:rsid w:val="00542AB8"/>
    <w:rsid w:val="0077465C"/>
    <w:rsid w:val="00904E79"/>
    <w:rsid w:val="00925826"/>
    <w:rsid w:val="00A56C18"/>
    <w:rsid w:val="00A72A5F"/>
    <w:rsid w:val="00AB2E97"/>
    <w:rsid w:val="00AC0675"/>
    <w:rsid w:val="00BE4704"/>
    <w:rsid w:val="016F4A0F"/>
    <w:rsid w:val="1A34388C"/>
    <w:rsid w:val="1D632157"/>
    <w:rsid w:val="346B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498</Words>
  <Characters>538</Characters>
  <Lines>51</Lines>
  <Paragraphs>59</Paragraphs>
  <TotalTime>10</TotalTime>
  <ScaleCrop>false</ScaleCrop>
  <LinksUpToDate>false</LinksUpToDate>
  <CharactersWithSpaces>626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2025-09-16T15:42:00Z</dcterms:created>
  <dc:creator>Mufasa Q</dc:creator>
  <cp:lastModifiedBy>唐哲涵</cp:lastModifiedBy>
  <dcterms:modified xsi:type="dcterms:W3CDTF">2025-09-17T09:07:47Z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eyJoZGlkIjoiZmUxYmRmNjIxNTAwMzZjMDQ3NTBmZDk5ODczYTE3ZDMiLCJ1c2VySWQiOiIyNTYxNzMwNDgifQ==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5416335775F6447997C7430166BACF49_13</vt:lpwstr>
  </property>
</Properties>
</file>