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关于组织开展第十</w:t>
      </w:r>
      <w:r>
        <w:rPr>
          <w:rFonts w:hint="eastAsia" w:ascii="方正小标宋简体" w:eastAsia="方正小标宋简体"/>
          <w:color w:val="000000"/>
          <w:sz w:val="44"/>
          <w:szCs w:val="44"/>
          <w:lang w:val="en-US" w:eastAsia="zh-CN"/>
        </w:rPr>
        <w:t>四</w:t>
      </w:r>
      <w:r>
        <w:rPr>
          <w:rFonts w:hint="eastAsia" w:ascii="方正小标宋简体" w:eastAsia="方正小标宋简体"/>
          <w:color w:val="000000"/>
          <w:sz w:val="44"/>
          <w:szCs w:val="44"/>
        </w:rPr>
        <w:t>届“挑战杯”</w:t>
      </w:r>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eastAsia="方正小标宋简体"/>
          <w:color w:val="000000"/>
          <w:sz w:val="44"/>
          <w:szCs w:val="44"/>
        </w:rPr>
      </w:pPr>
      <w:r>
        <w:rPr>
          <w:rFonts w:hint="eastAsia" w:ascii="方正小标宋简体" w:eastAsia="方正小标宋简体"/>
          <w:color w:val="000000"/>
          <w:sz w:val="44"/>
          <w:szCs w:val="44"/>
        </w:rPr>
        <w:t>济宁医学院大学生创业计划竞赛的通知</w:t>
      </w:r>
    </w:p>
    <w:p>
      <w:pPr>
        <w:keepNext w:val="0"/>
        <w:keepLines w:val="0"/>
        <w:pageBreakBefore w:val="0"/>
        <w:widowControl w:val="0"/>
        <w:kinsoku/>
        <w:wordWrap/>
        <w:overflowPunct/>
        <w:topLinePunct w:val="0"/>
        <w:autoSpaceDE/>
        <w:autoSpaceDN/>
        <w:bidi w:val="0"/>
        <w:spacing w:line="560" w:lineRule="exact"/>
        <w:jc w:val="center"/>
        <w:textAlignment w:val="auto"/>
        <w:rPr>
          <w:rFonts w:hint="eastAsia" w:ascii="方正小标宋简体" w:eastAsia="方正小标宋简体"/>
          <w:color w:val="000000"/>
          <w:sz w:val="44"/>
          <w:szCs w:val="44"/>
        </w:rPr>
      </w:pPr>
    </w:p>
    <w:p>
      <w:pPr>
        <w:keepNext w:val="0"/>
        <w:keepLines w:val="0"/>
        <w:pageBreakBefore w:val="0"/>
        <w:widowControl w:val="0"/>
        <w:kinsoku/>
        <w:wordWrap/>
        <w:overflowPunct/>
        <w:topLinePunct w:val="0"/>
        <w:autoSpaceDE/>
        <w:autoSpaceDN/>
        <w:bidi w:val="0"/>
        <w:snapToGrid/>
        <w:spacing w:line="560" w:lineRule="exact"/>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仿宋_GB2312" w:eastAsia="仿宋_GB2312" w:cs="仿宋_GB2312"/>
          <w:color w:val="333333"/>
          <w:kern w:val="0"/>
          <w:sz w:val="32"/>
          <w:szCs w:val="32"/>
          <w:shd w:val="clear" w:color="auto" w:fill="FFFFFF"/>
          <w:lang w:val="en-US" w:eastAsia="zh-CN" w:bidi="ar-SA"/>
        </w:rPr>
        <w:t>各学院</w:t>
      </w:r>
      <w:r>
        <w:rPr>
          <w:rFonts w:hint="eastAsia" w:ascii="仿宋_GB2312" w:hAnsi="宋体" w:eastAsia="仿宋_GB2312" w:cs="宋体"/>
          <w:color w:val="000000"/>
          <w:kern w:val="0"/>
          <w:sz w:val="32"/>
          <w:szCs w:val="32"/>
          <w:lang w:val="en-US" w:eastAsia="zh-CN"/>
        </w:rPr>
        <w:t>：</w:t>
      </w:r>
    </w:p>
    <w:p>
      <w:pPr>
        <w:keepNext w:val="0"/>
        <w:keepLines w:val="0"/>
        <w:pageBreakBefore w:val="0"/>
        <w:widowControl w:val="0"/>
        <w:kinsoku/>
        <w:wordWrap/>
        <w:overflowPunct/>
        <w:topLinePunct w:val="0"/>
        <w:autoSpaceDE/>
        <w:autoSpaceDN/>
        <w:bidi w:val="0"/>
        <w:snapToGrid/>
        <w:spacing w:line="560" w:lineRule="exact"/>
        <w:ind w:firstLine="640" w:firstLineChars="200"/>
        <w:jc w:val="both"/>
        <w:textAlignment w:val="auto"/>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为贯彻落实国家双创工作部署，围绕立足新发展阶段、贯彻新发展理念、构建新发展格局、服务高质量发展，引导和激励大学生通过广泛的社会实践、深刻的社会观察，不断增强对国情社情的了解，激发创新精神，培育创业意识，提升创业能力，经研究</w:t>
      </w:r>
      <w:r>
        <w:rPr>
          <w:rFonts w:hint="eastAsia" w:ascii="仿宋_GB2312" w:hAnsi="宋体" w:eastAsia="仿宋_GB2312" w:cs="宋体"/>
          <w:color w:val="000000"/>
          <w:kern w:val="0"/>
          <w:sz w:val="32"/>
          <w:szCs w:val="32"/>
          <w:lang w:eastAsia="zh-CN"/>
        </w:rPr>
        <w:t>，</w:t>
      </w:r>
      <w:r>
        <w:rPr>
          <w:rFonts w:hint="eastAsia" w:ascii="仿宋_GB2312" w:hAnsi="宋体" w:eastAsia="仿宋_GB2312" w:cs="宋体"/>
          <w:color w:val="000000"/>
          <w:kern w:val="0"/>
          <w:sz w:val="32"/>
          <w:szCs w:val="32"/>
        </w:rPr>
        <w:t>决定举办第十四届“挑战杯”济宁医学院大学生创业计划竞赛。现</w:t>
      </w:r>
      <w:r>
        <w:rPr>
          <w:rFonts w:hint="eastAsia" w:ascii="仿宋_GB2312" w:hAnsi="宋体" w:eastAsia="仿宋_GB2312" w:cs="宋体"/>
          <w:color w:val="000000"/>
          <w:kern w:val="0"/>
          <w:sz w:val="32"/>
          <w:szCs w:val="32"/>
          <w:lang w:val="en-US" w:eastAsia="zh-CN"/>
        </w:rPr>
        <w:t>将有</w:t>
      </w:r>
      <w:r>
        <w:rPr>
          <w:rFonts w:hint="eastAsia" w:ascii="仿宋_GB2312" w:hAnsi="宋体" w:eastAsia="仿宋_GB2312" w:cs="宋体"/>
          <w:color w:val="000000"/>
          <w:kern w:val="0"/>
          <w:sz w:val="32"/>
          <w:szCs w:val="32"/>
        </w:rPr>
        <w:t>关事宜通知如下：</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一、时间</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highlight w:val="none"/>
        </w:rPr>
        <w:t>20</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年10月</w:t>
      </w:r>
      <w:r>
        <w:rPr>
          <w:rFonts w:hint="eastAsia" w:ascii="仿宋_GB2312" w:hAnsi="宋体" w:eastAsia="仿宋_GB2312" w:cs="宋体"/>
          <w:color w:val="auto"/>
          <w:kern w:val="0"/>
          <w:sz w:val="32"/>
          <w:szCs w:val="32"/>
          <w:highlight w:val="none"/>
          <w:lang w:val="en-US" w:eastAsia="zh-CN"/>
        </w:rPr>
        <w:t>至</w:t>
      </w:r>
      <w:r>
        <w:rPr>
          <w:rFonts w:hint="eastAsia" w:ascii="仿宋_GB2312" w:hAnsi="宋体" w:eastAsia="仿宋_GB2312" w:cs="宋体"/>
          <w:color w:val="auto"/>
          <w:kern w:val="0"/>
          <w:sz w:val="32"/>
          <w:szCs w:val="32"/>
          <w:highlight w:val="none"/>
        </w:rPr>
        <w:t>20</w:t>
      </w:r>
      <w:r>
        <w:rPr>
          <w:rFonts w:hint="eastAsia" w:ascii="仿宋_GB2312" w:hAnsi="宋体" w:eastAsia="仿宋_GB2312"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月</w:t>
      </w: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二、参赛对象</w:t>
      </w: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我校正式注册的全日制在校</w:t>
      </w:r>
      <w:r>
        <w:rPr>
          <w:rFonts w:hint="eastAsia" w:ascii="仿宋_GB2312" w:hAnsi="仿宋_GB2312" w:eastAsia="仿宋_GB2312" w:cs="仿宋_GB2312"/>
          <w:color w:val="auto"/>
          <w:sz w:val="32"/>
          <w:szCs w:val="32"/>
          <w:lang w:val="en-US" w:eastAsia="zh-CN"/>
        </w:rPr>
        <w:t>生（含</w:t>
      </w:r>
      <w:r>
        <w:rPr>
          <w:rFonts w:hint="eastAsia" w:ascii="仿宋_GB2312" w:hAnsi="仿宋_GB2312" w:eastAsia="仿宋_GB2312" w:cs="仿宋_GB2312"/>
          <w:color w:val="auto"/>
          <w:sz w:val="32"/>
          <w:szCs w:val="32"/>
        </w:rPr>
        <w:t>研究生</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黑体" w:hAnsi="宋体" w:eastAsia="黑体" w:cs="宋体"/>
          <w:color w:val="000000"/>
          <w:kern w:val="0"/>
          <w:sz w:val="32"/>
          <w:szCs w:val="32"/>
          <w:lang w:val="en-US" w:eastAsia="zh-CN"/>
        </w:rPr>
      </w:pPr>
      <w:r>
        <w:rPr>
          <w:rFonts w:hint="eastAsia" w:ascii="黑体" w:hAnsi="宋体" w:eastAsia="黑体" w:cs="宋体"/>
          <w:color w:val="000000"/>
          <w:kern w:val="0"/>
          <w:sz w:val="32"/>
          <w:szCs w:val="32"/>
          <w:lang w:val="en-US" w:eastAsia="zh-CN"/>
        </w:rPr>
        <w:t>三</w:t>
      </w:r>
      <w:r>
        <w:rPr>
          <w:rFonts w:hint="eastAsia" w:ascii="黑体" w:hAnsi="宋体" w:eastAsia="黑体" w:cs="宋体"/>
          <w:color w:val="000000"/>
          <w:kern w:val="0"/>
          <w:sz w:val="32"/>
          <w:szCs w:val="32"/>
          <w:lang w:val="zh-CN"/>
        </w:rPr>
        <w:t>、</w:t>
      </w:r>
      <w:r>
        <w:rPr>
          <w:rFonts w:hint="eastAsia" w:ascii="黑体" w:hAnsi="宋体" w:eastAsia="黑体" w:cs="宋体"/>
          <w:color w:val="000000"/>
          <w:kern w:val="0"/>
          <w:sz w:val="32"/>
          <w:szCs w:val="32"/>
          <w:lang w:val="en-US" w:eastAsia="zh-CN"/>
        </w:rPr>
        <w:t>赛事安排</w:t>
      </w:r>
    </w:p>
    <w:p>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jc w:val="both"/>
        <w:textAlignment w:val="auto"/>
        <w:rPr>
          <w:rFonts w:hint="eastAsia" w:ascii="楷体_GB2312" w:hAnsi="楷体_GB2312" w:eastAsia="楷体_GB2312" w:cs="楷体_GB2312"/>
          <w:b w:val="0"/>
          <w:bCs w:val="0"/>
          <w:color w:val="000000"/>
          <w:kern w:val="0"/>
          <w:sz w:val="32"/>
          <w:szCs w:val="32"/>
          <w:lang w:val="en-US" w:eastAsia="zh-CN"/>
        </w:rPr>
      </w:pPr>
      <w:r>
        <w:rPr>
          <w:rFonts w:hint="eastAsia" w:ascii="楷体_GB2312" w:hAnsi="楷体_GB2312" w:eastAsia="楷体_GB2312" w:cs="楷体_GB2312"/>
          <w:b w:val="0"/>
          <w:bCs w:val="0"/>
          <w:color w:val="000000"/>
          <w:kern w:val="0"/>
          <w:sz w:val="32"/>
          <w:szCs w:val="32"/>
          <w:lang w:val="en-US" w:eastAsia="zh-CN"/>
        </w:rPr>
        <w:t>（一）组别安排</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auto"/>
          <w:kern w:val="0"/>
          <w:sz w:val="32"/>
          <w:szCs w:val="32"/>
          <w:lang w:val="zh-CN"/>
        </w:rPr>
      </w:pPr>
      <w:r>
        <w:rPr>
          <w:rFonts w:hint="eastAsia" w:ascii="仿宋_GB2312" w:hAnsi="宋体" w:eastAsia="仿宋_GB2312" w:cs="宋体"/>
          <w:color w:val="auto"/>
          <w:kern w:val="0"/>
          <w:sz w:val="32"/>
          <w:szCs w:val="32"/>
          <w:highlight w:val="none"/>
        </w:rPr>
        <w:t>由于</w:t>
      </w:r>
      <w:r>
        <w:rPr>
          <w:rFonts w:hint="eastAsia" w:ascii="仿宋_GB2312" w:hAnsi="宋体" w:eastAsia="仿宋_GB2312" w:cs="宋体"/>
          <w:color w:val="auto"/>
          <w:kern w:val="0"/>
          <w:sz w:val="32"/>
          <w:szCs w:val="32"/>
          <w:highlight w:val="none"/>
          <w:lang w:val="en-US" w:eastAsia="zh-CN"/>
        </w:rPr>
        <w:t>第十四届“挑战杯”山东省大学生创业计划竞赛</w:t>
      </w:r>
      <w:r>
        <w:rPr>
          <w:rFonts w:hint="eastAsia" w:ascii="仿宋_GB2312" w:hAnsi="宋体" w:eastAsia="仿宋_GB2312" w:cs="宋体"/>
          <w:color w:val="auto"/>
          <w:kern w:val="0"/>
          <w:sz w:val="32"/>
          <w:szCs w:val="32"/>
          <w:highlight w:val="none"/>
        </w:rPr>
        <w:t>通知未发，参考202</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第十三届“挑战杯”山东省大学生创业计划竞赛</w:t>
      </w:r>
      <w:r>
        <w:rPr>
          <w:rFonts w:hint="eastAsia" w:ascii="仿宋_GB2312" w:hAnsi="宋体" w:eastAsia="仿宋_GB2312" w:cs="宋体"/>
          <w:color w:val="auto"/>
          <w:kern w:val="0"/>
          <w:sz w:val="32"/>
          <w:szCs w:val="32"/>
          <w:highlight w:val="none"/>
        </w:rPr>
        <w:t>章程</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详见附件1</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共</w:t>
      </w:r>
      <w:r>
        <w:rPr>
          <w:rFonts w:hint="eastAsia" w:ascii="仿宋_GB2312" w:hAnsi="宋体" w:eastAsia="仿宋_GB2312" w:cs="宋体"/>
          <w:color w:val="auto"/>
          <w:kern w:val="0"/>
          <w:sz w:val="32"/>
          <w:szCs w:val="32"/>
          <w:highlight w:val="none"/>
          <w:lang w:val="zh-CN"/>
        </w:rPr>
        <w:t>设置五个组别，每个参</w:t>
      </w:r>
      <w:r>
        <w:rPr>
          <w:rFonts w:hint="eastAsia" w:ascii="仿宋_GB2312" w:hAnsi="宋体" w:eastAsia="仿宋_GB2312" w:cs="宋体"/>
          <w:color w:val="auto"/>
          <w:kern w:val="0"/>
          <w:sz w:val="32"/>
          <w:szCs w:val="32"/>
          <w:lang w:val="zh-CN"/>
        </w:rPr>
        <w:t>赛项目只可选择参加一个组别，不得兼报。</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auto"/>
          <w:kern w:val="0"/>
          <w:sz w:val="32"/>
          <w:szCs w:val="32"/>
          <w:lang w:val="en-US" w:eastAsia="zh-CN"/>
        </w:rPr>
        <w:t>1.</w:t>
      </w:r>
      <w:r>
        <w:rPr>
          <w:rFonts w:hint="eastAsia" w:ascii="仿宋_GB2312" w:hAnsi="宋体" w:eastAsia="仿宋_GB2312" w:cs="宋体"/>
          <w:color w:val="000000"/>
          <w:kern w:val="0"/>
          <w:sz w:val="32"/>
          <w:szCs w:val="32"/>
          <w:lang w:val="en-US" w:eastAsia="zh-CN"/>
        </w:rPr>
        <w:t>科技创新和未来产业：围绕创新驱动发展战略，推动数字经济健康发展，在智能制造、信息技术、大数据、人工智能、生命科学、新材料、军民融合等领域，结合实践观察设计项目。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2.乡村振兴和农业农村现代化：围绕实施乡村振兴战略，在农林牧渔、电子商务、乡村旅游、城乡融合等领域，结合实践观察设计项目。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3.社会治理和公共服务：围绕国家治理体系和治理能力现代化建设，在政务服务、消费生活、公共卫生与医疗服务、金融与财经法务、教育培训、交通物流、人力资源等领域，结合实践观察设计项目。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4.生态环保和可持续发展：围绕可持续发展战略和碳达峰碳中和目标，在环境治理、可持续资源开发、生态环保、清洁能源应用等领域，结合实践观察设计项目。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文化创意和区域合作：突出共融、共享，紧密围绕“一带一路”和京津冀地区、长三角地区、成渝地区及粤港澳大湾区等经济合作建设，在工业设计、动漫广告、体育竞技和国际文化传播、对外交流培训、对外经贸等领域，结合实践观察设计项目。</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楷体_GB2312" w:hAnsi="楷体_GB2312" w:eastAsia="楷体_GB2312" w:cs="楷体_GB2312"/>
          <w:b w:val="0"/>
          <w:bCs w:val="0"/>
          <w:color w:val="000000"/>
          <w:kern w:val="0"/>
          <w:sz w:val="32"/>
          <w:szCs w:val="32"/>
          <w:lang w:val="en-US" w:eastAsia="zh-CN"/>
        </w:rPr>
      </w:pPr>
      <w:r>
        <w:rPr>
          <w:rFonts w:hint="eastAsia" w:ascii="楷体_GB2312" w:hAnsi="楷体_GB2312" w:eastAsia="楷体_GB2312" w:cs="楷体_GB2312"/>
          <w:b w:val="0"/>
          <w:bCs w:val="0"/>
          <w:color w:val="000000"/>
          <w:kern w:val="0"/>
          <w:sz w:val="32"/>
          <w:szCs w:val="32"/>
          <w:lang w:val="en-US" w:eastAsia="zh-CN"/>
        </w:rPr>
        <w:t>（二）参赛形式</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highlight w:val="yellow"/>
          <w:lang w:val="zh-CN"/>
        </w:rPr>
      </w:pPr>
      <w:r>
        <w:rPr>
          <w:rFonts w:hint="eastAsia" w:ascii="仿宋_GB2312" w:hAnsi="宋体" w:eastAsia="仿宋_GB2312" w:cs="宋体"/>
          <w:color w:val="auto"/>
          <w:kern w:val="0"/>
          <w:sz w:val="32"/>
          <w:szCs w:val="32"/>
          <w:lang w:val="en-US" w:eastAsia="zh-CN"/>
        </w:rPr>
        <w:t>参赛者自行组建团队，</w:t>
      </w:r>
      <w:r>
        <w:rPr>
          <w:rFonts w:hint="eastAsia" w:ascii="仿宋_GB2312" w:hAnsi="宋体" w:eastAsia="仿宋_GB2312" w:cs="宋体"/>
          <w:color w:val="000000"/>
          <w:kern w:val="0"/>
          <w:sz w:val="32"/>
          <w:szCs w:val="32"/>
          <w:lang w:val="zh-CN"/>
        </w:rPr>
        <w:t>每个团队原则上不超过10人，每个项目指导教师原则上不超过3人。对于跨校、跨学院组队参赛的项目，</w:t>
      </w:r>
      <w:r>
        <w:rPr>
          <w:rFonts w:hint="eastAsia" w:ascii="仿宋_GB2312" w:hAnsi="宋体" w:eastAsia="仿宋_GB2312" w:cs="宋体"/>
          <w:color w:val="000000"/>
          <w:kern w:val="0"/>
          <w:sz w:val="32"/>
          <w:szCs w:val="32"/>
          <w:lang w:val="en-US" w:eastAsia="zh-CN"/>
        </w:rPr>
        <w:t>以项目负责人所在学校、学院为申报单位。报名截止后</w:t>
      </w:r>
      <w:r>
        <w:rPr>
          <w:rFonts w:hint="eastAsia" w:ascii="仿宋_GB2312" w:hAnsi="宋体" w:eastAsia="仿宋_GB2312" w:cs="宋体"/>
          <w:color w:val="000000"/>
          <w:kern w:val="0"/>
          <w:sz w:val="32"/>
          <w:szCs w:val="32"/>
          <w:lang w:val="zh-CN"/>
        </w:rPr>
        <w:t>，只可进行人员删减，不可进行人员顺序调整及人员添加。</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楷体_GB2312" w:hAnsi="楷体_GB2312" w:eastAsia="楷体_GB2312" w:cs="楷体_GB2312"/>
          <w:b w:val="0"/>
          <w:bCs w:val="0"/>
          <w:color w:val="000000"/>
          <w:kern w:val="0"/>
          <w:sz w:val="32"/>
          <w:szCs w:val="32"/>
          <w:lang w:val="zh-CN" w:eastAsia="zh-CN"/>
        </w:rPr>
      </w:pPr>
      <w:r>
        <w:rPr>
          <w:rFonts w:hint="eastAsia" w:ascii="楷体_GB2312" w:hAnsi="楷体_GB2312" w:eastAsia="楷体_GB2312" w:cs="楷体_GB2312"/>
          <w:b w:val="0"/>
          <w:bCs w:val="0"/>
          <w:color w:val="000000"/>
          <w:kern w:val="0"/>
          <w:sz w:val="32"/>
          <w:szCs w:val="32"/>
          <w:lang w:val="en-US" w:eastAsia="zh-CN"/>
        </w:rPr>
        <w:t>（三）作品要求</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auto"/>
          <w:kern w:val="0"/>
          <w:sz w:val="32"/>
          <w:szCs w:val="32"/>
          <w:highlight w:val="none"/>
          <w:lang w:val="zh-CN"/>
        </w:rPr>
      </w:pP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b w:val="0"/>
          <w:bCs w:val="0"/>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lang w:val="en-US" w:eastAsia="zh-CN"/>
        </w:rPr>
        <w:t>创业计划书（详见附件2）不少于3000字。</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zh-CN"/>
        </w:rPr>
      </w:pP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lang w:val="zh-CN"/>
        </w:rPr>
        <w:t>参赛</w:t>
      </w:r>
      <w:r>
        <w:rPr>
          <w:rFonts w:hint="eastAsia" w:ascii="仿宋_GB2312" w:hAnsi="宋体" w:eastAsia="仿宋_GB2312" w:cs="宋体"/>
          <w:color w:val="000000"/>
          <w:kern w:val="0"/>
          <w:sz w:val="32"/>
          <w:szCs w:val="32"/>
          <w:lang w:val="zh-CN"/>
        </w:rPr>
        <w:t>项目涉及知识产权的，在报名时须提交具有法律效力的发明创造或专利技术所有人的书面授权许可、项目鉴定证书、专利证书等。</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zh-CN"/>
        </w:rPr>
      </w:pPr>
      <w:r>
        <w:rPr>
          <w:rFonts w:hint="eastAsia" w:ascii="仿宋_GB2312" w:hAnsi="宋体" w:eastAsia="仿宋_GB2312" w:cs="宋体"/>
          <w:b w:val="0"/>
          <w:bCs w:val="0"/>
          <w:color w:val="000000"/>
          <w:kern w:val="0"/>
          <w:sz w:val="32"/>
          <w:szCs w:val="32"/>
          <w:lang w:val="en-US" w:eastAsia="zh-CN"/>
        </w:rPr>
        <w:t>3.</w:t>
      </w:r>
      <w:r>
        <w:rPr>
          <w:rFonts w:hint="eastAsia" w:ascii="仿宋_GB2312" w:hAnsi="宋体" w:eastAsia="仿宋_GB2312" w:cs="宋体"/>
          <w:color w:val="000000"/>
          <w:kern w:val="0"/>
          <w:sz w:val="32"/>
          <w:szCs w:val="32"/>
          <w:lang w:val="zh-CN"/>
        </w:rPr>
        <w:t>对于已工商注册的项目，在报名时可提交相关证明材料（含单位概况、法定代表人情况、营业执照复印件、税务登记证复印件、组织机构代码复印件、股权结构等材料）。已工商注册项目的负责人须为企业法人代表。企业法人代表在通知发布之日后进行变更的不予认可。参赛项目可提供项目实践成效、预期成效等其他相关材料（包括项目的社会效益、经济效益、带动就业情况等）。</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4.参赛项目可提供项目实践成效或预期成效的证明材料（包括项目的社会效益、经济效益、带动就业情况等）。</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5.参赛项目涉及下列内容时，必须由申报者提供有关部门的证明材料，否则不予评审。</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（1）动植物新品种的发现或培育，须有省级以上农科部门或科研院所开具证明。</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（2）对国家保护动植物的研究，须有省级以上林业部门开具证明，保证该项目在研究过程中未对所研究动植物的繁衍、生长产生不利影响。</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（3）新药物的研究须有卫生行政部门授权机构或具有同等资质机构的鉴定证明。</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（4）医疗卫生研究须通过专家鉴定，并最好附有在公开发行的专业性杂志上发表过的文章。</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（5）涉及燃气用具等与人民生命财产安全有关用具的研究，须有国家相应行政部门授权机构的认定证明。</w:t>
      </w:r>
    </w:p>
    <w:p>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640" w:firstLineChars="200"/>
        <w:jc w:val="both"/>
        <w:textAlignment w:val="auto"/>
        <w:rPr>
          <w:rFonts w:hint="default" w:ascii="楷体_GB2312" w:hAnsi="楷体_GB2312" w:eastAsia="楷体_GB2312" w:cs="楷体_GB2312"/>
          <w:b w:val="0"/>
          <w:bCs w:val="0"/>
          <w:color w:val="000000"/>
          <w:kern w:val="0"/>
          <w:sz w:val="32"/>
          <w:szCs w:val="32"/>
          <w:lang w:val="en-US" w:eastAsia="zh-CN"/>
        </w:rPr>
      </w:pPr>
      <w:r>
        <w:rPr>
          <w:rFonts w:hint="eastAsia" w:ascii="楷体_GB2312" w:hAnsi="楷体_GB2312" w:eastAsia="楷体_GB2312" w:cs="楷体_GB2312"/>
          <w:b w:val="0"/>
          <w:bCs w:val="0"/>
          <w:color w:val="000000"/>
          <w:kern w:val="0"/>
          <w:sz w:val="32"/>
          <w:szCs w:val="32"/>
          <w:lang w:val="en-US" w:eastAsia="zh-CN"/>
        </w:rPr>
        <w:t>（四）赛事推进</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b/>
          <w:bCs/>
          <w:sz w:val="32"/>
          <w:szCs w:val="32"/>
          <w:lang w:val="en-US" w:eastAsia="zh-CN"/>
        </w:rPr>
        <w:t>1.学院初赛。</w:t>
      </w:r>
      <w:r>
        <w:rPr>
          <w:rFonts w:hint="eastAsia" w:ascii="仿宋_GB2312" w:hAnsi="仿宋" w:eastAsia="仿宋_GB2312"/>
          <w:sz w:val="32"/>
          <w:szCs w:val="32"/>
          <w:lang w:val="en-US" w:eastAsia="zh-CN"/>
        </w:rPr>
        <w:t>院赛</w:t>
      </w:r>
      <w:r>
        <w:rPr>
          <w:rFonts w:hint="default" w:ascii="仿宋_GB2312" w:hAnsi="仿宋" w:eastAsia="仿宋_GB2312"/>
          <w:sz w:val="32"/>
          <w:szCs w:val="32"/>
          <w:lang w:val="en-US" w:eastAsia="zh-CN"/>
        </w:rPr>
        <w:t>规模按照在校生人数的3%进行核算，即在校生2000人的学院，院赛项目数不低于60项。</w:t>
      </w:r>
      <w:r>
        <w:rPr>
          <w:rFonts w:hint="eastAsia" w:ascii="仿宋_GB2312" w:hAnsi="仿宋" w:eastAsia="仿宋_GB2312"/>
          <w:sz w:val="32"/>
          <w:szCs w:val="32"/>
          <w:lang w:val="en-US" w:eastAsia="zh-CN"/>
        </w:rPr>
        <w:t>12月18日前，各学院成立学院专家评审小组（专家需满足高级专</w:t>
      </w:r>
      <w:r>
        <w:rPr>
          <w:rFonts w:hint="eastAsia" w:ascii="仿宋_GB2312" w:hAnsi="仿宋" w:eastAsia="仿宋_GB2312"/>
          <w:sz w:val="32"/>
          <w:szCs w:val="32"/>
          <w:highlight w:val="none"/>
          <w:lang w:val="en-US" w:eastAsia="zh-CN"/>
        </w:rPr>
        <w:t>业技术职称，不少于3人），根据评审要点（附件3）组织初</w:t>
      </w:r>
      <w:r>
        <w:rPr>
          <w:rFonts w:hint="eastAsia" w:ascii="仿宋_GB2312" w:hAnsi="仿宋" w:eastAsia="仿宋_GB2312"/>
          <w:sz w:val="32"/>
          <w:szCs w:val="32"/>
          <w:lang w:val="en-US" w:eastAsia="zh-CN"/>
        </w:rPr>
        <w:t>赛，排名推荐作品，参加校级复赛。</w:t>
      </w:r>
      <w:r>
        <w:rPr>
          <w:rFonts w:hint="default" w:ascii="仿宋_GB2312" w:hAnsi="仿宋" w:eastAsia="仿宋_GB2312"/>
          <w:sz w:val="32"/>
          <w:szCs w:val="32"/>
          <w:lang w:val="en-US" w:eastAsia="zh-CN"/>
        </w:rPr>
        <w:t>各学院可评选院赛一、二、三等奖，</w:t>
      </w:r>
      <w:r>
        <w:rPr>
          <w:rFonts w:hint="eastAsia" w:ascii="仿宋_GB2312" w:hAnsi="仿宋" w:eastAsia="仿宋_GB2312"/>
          <w:sz w:val="32"/>
          <w:szCs w:val="32"/>
          <w:lang w:val="en-US" w:eastAsia="zh-CN"/>
        </w:rPr>
        <w:t>待校级终审结束后，由学校</w:t>
      </w:r>
      <w:r>
        <w:rPr>
          <w:rFonts w:hint="default" w:ascii="仿宋_GB2312" w:hAnsi="仿宋" w:eastAsia="仿宋_GB2312"/>
          <w:sz w:val="32"/>
          <w:szCs w:val="32"/>
          <w:lang w:val="en-US" w:eastAsia="zh-CN"/>
        </w:rPr>
        <w:t>统一认定创新创业实践学分。校赛推荐比例按照各学院实际参赛项目数的25%进行推荐。</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b/>
          <w:bCs/>
          <w:sz w:val="32"/>
          <w:szCs w:val="32"/>
          <w:lang w:val="en-US" w:eastAsia="zh-CN"/>
        </w:rPr>
        <w:t>2.校级复赛、作品立项。</w:t>
      </w:r>
      <w:r>
        <w:rPr>
          <w:rFonts w:hint="eastAsia" w:ascii="仿宋_GB2312" w:hAnsi="仿宋" w:eastAsia="仿宋_GB2312"/>
          <w:sz w:val="32"/>
          <w:szCs w:val="32"/>
          <w:lang w:val="en-US" w:eastAsia="zh-CN"/>
        </w:rPr>
        <w:t>2023年12月至2024年1月，成立学校评审委员会，对参赛作品进行资格及形式审查，并进行立项评审工作，确定终审决赛入围作品名单，同时评审出重点立项作品和一般立项作品。立项作品</w:t>
      </w:r>
      <w:r>
        <w:rPr>
          <w:rFonts w:hint="eastAsia" w:ascii="仿宋_GB2312" w:hAnsi="宋体" w:eastAsia="仿宋_GB2312" w:cs="宋体"/>
          <w:color w:val="000000"/>
          <w:kern w:val="0"/>
          <w:sz w:val="32"/>
          <w:szCs w:val="32"/>
          <w:lang w:val="en-US" w:eastAsia="zh-CN"/>
        </w:rPr>
        <w:t>开展深入的市场调查，完善创业计划书，争取投资。</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b/>
          <w:bCs/>
          <w:sz w:val="32"/>
          <w:szCs w:val="32"/>
          <w:lang w:val="en-US" w:eastAsia="zh-CN"/>
        </w:rPr>
        <w:t>3.校级终审。</w:t>
      </w:r>
      <w:r>
        <w:rPr>
          <w:rFonts w:hint="eastAsia" w:ascii="仿宋_GB2312" w:hAnsi="仿宋" w:eastAsia="仿宋_GB2312"/>
          <w:sz w:val="32"/>
          <w:szCs w:val="32"/>
          <w:lang w:val="en-US" w:eastAsia="zh-CN"/>
        </w:rPr>
        <w:t>2024年3月至4月，学校评审委员会对决赛作品进行书面评审、观看实物演示及现场答辩，确定决赛建议奖励名单，由学校确定决赛奖励名单。</w:t>
      </w:r>
    </w:p>
    <w:p>
      <w:pPr>
        <w:keepNext w:val="0"/>
        <w:keepLines w:val="0"/>
        <w:pageBreakBefore w:val="0"/>
        <w:widowControl w:val="0"/>
        <w:kinsoku/>
        <w:wordWrap/>
        <w:overflowPunct/>
        <w:topLinePunct w:val="0"/>
        <w:autoSpaceDE/>
        <w:autoSpaceDN/>
        <w:bidi w:val="0"/>
        <w:spacing w:line="560" w:lineRule="exact"/>
        <w:ind w:firstLine="643"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b/>
          <w:bCs/>
          <w:sz w:val="32"/>
          <w:szCs w:val="32"/>
          <w:lang w:val="en-US" w:eastAsia="zh-CN"/>
        </w:rPr>
        <w:t>4.省级竞赛。</w:t>
      </w:r>
      <w:r>
        <w:rPr>
          <w:rFonts w:hint="eastAsia" w:ascii="仿宋_GB2312" w:hAnsi="仿宋" w:eastAsia="仿宋_GB2312"/>
          <w:sz w:val="32"/>
          <w:szCs w:val="32"/>
          <w:lang w:val="en-US" w:eastAsia="zh-CN"/>
        </w:rPr>
        <w:t>2024年5月至6月，邀请专家对重点培育项目进行针对性辅导，各参赛团队进一步修改完善。根据省赛指标分配情况，结合重点培育项目排名和修改后情况，择优参加省级竞赛。</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ascii="黑体" w:eastAsia="黑体"/>
          <w:color w:val="auto"/>
        </w:rPr>
      </w:pPr>
      <w:r>
        <w:rPr>
          <w:rFonts w:hint="eastAsia" w:ascii="黑体" w:eastAsia="黑体"/>
          <w:color w:val="000000"/>
          <w:sz w:val="32"/>
          <w:szCs w:val="32"/>
          <w:lang w:val="en-US" w:eastAsia="zh-CN"/>
        </w:rPr>
        <w:t>四、</w:t>
      </w:r>
      <w:r>
        <w:rPr>
          <w:rFonts w:hint="eastAsia" w:ascii="黑体" w:eastAsia="黑体"/>
          <w:color w:val="auto"/>
        </w:rPr>
        <w:t>工作要求</w:t>
      </w:r>
    </w:p>
    <w:p>
      <w:pPr>
        <w:keepNext w:val="0"/>
        <w:keepLines w:val="0"/>
        <w:pageBreakBefore w:val="0"/>
        <w:widowControl w:val="0"/>
        <w:kinsoku/>
        <w:wordWrap/>
        <w:overflowPunct/>
        <w:topLinePunct w:val="0"/>
        <w:autoSpaceDE/>
        <w:autoSpaceDN/>
        <w:bidi w:val="0"/>
        <w:snapToGrid/>
        <w:spacing w:line="560" w:lineRule="exact"/>
        <w:ind w:firstLine="643"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color w:val="000000"/>
          <w:sz w:val="32"/>
          <w:szCs w:val="32"/>
          <w:lang w:val="en-US" w:eastAsia="zh-CN"/>
        </w:rPr>
        <w:t>1.</w:t>
      </w:r>
      <w:r>
        <w:rPr>
          <w:rFonts w:hint="eastAsia" w:ascii="仿宋_GB2312" w:hAnsi="仿宋_GB2312" w:eastAsia="仿宋_GB2312" w:cs="仿宋_GB2312"/>
          <w:b/>
          <w:bCs/>
          <w:kern w:val="2"/>
          <w:sz w:val="32"/>
          <w:szCs w:val="32"/>
          <w:lang w:val="en-US" w:eastAsia="zh-CN" w:bidi="ar-SA"/>
        </w:rPr>
        <w:t>加强领导，</w:t>
      </w:r>
      <w:r>
        <w:rPr>
          <w:rFonts w:hint="eastAsia" w:ascii="仿宋_GB2312" w:hAnsi="仿宋_GB2312" w:eastAsia="仿宋_GB2312" w:cs="仿宋_GB2312"/>
          <w:b/>
          <w:bCs/>
          <w:color w:val="000000"/>
          <w:sz w:val="32"/>
          <w:szCs w:val="32"/>
          <w:lang w:val="en-US" w:eastAsia="zh-CN"/>
        </w:rPr>
        <w:t>广泛动员</w:t>
      </w:r>
      <w:r>
        <w:rPr>
          <w:rFonts w:hint="eastAsia" w:ascii="仿宋_GB2312" w:hAnsi="仿宋_GB2312" w:eastAsia="仿宋_GB2312" w:cs="仿宋_GB2312"/>
          <w:b/>
          <w:bCs/>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各学院要成立相关的组织协调机构，做好竞赛组织的宣传发动、项目选拔、评审推荐以及指导教师团队配备、开放资料室和实验室等。</w:t>
      </w:r>
      <w:r>
        <w:rPr>
          <w:rFonts w:hint="eastAsia" w:ascii="仿宋_GB2312" w:hAnsi="仿宋_GB2312" w:eastAsia="仿宋_GB2312" w:cs="仿宋_GB2312"/>
          <w:b w:val="0"/>
          <w:bCs w:val="0"/>
          <w:color w:val="000000"/>
          <w:sz w:val="32"/>
          <w:szCs w:val="32"/>
          <w:lang w:val="en-US" w:eastAsia="zh-CN"/>
        </w:rPr>
        <w:t>广泛动员，</w:t>
      </w:r>
      <w:r>
        <w:rPr>
          <w:rFonts w:hint="eastAsia" w:ascii="仿宋_GB2312" w:hAnsi="仿宋_GB2312" w:eastAsia="仿宋_GB2312" w:cs="仿宋_GB2312"/>
          <w:kern w:val="2"/>
          <w:sz w:val="32"/>
          <w:szCs w:val="32"/>
          <w:lang w:val="en-US" w:eastAsia="zh-CN" w:bidi="ar-SA"/>
        </w:rPr>
        <w:t>运用新媒体等多种形式发布竞赛消息，全方位、多层次、有重点地做好竞赛宣传工作，接受学生咨询，鼓励学生积极参加。</w:t>
      </w:r>
    </w:p>
    <w:p>
      <w:pPr>
        <w:keepNext w:val="0"/>
        <w:keepLines w:val="0"/>
        <w:pageBreakBefore w:val="0"/>
        <w:widowControl w:val="0"/>
        <w:kinsoku/>
        <w:wordWrap/>
        <w:overflowPunct/>
        <w:topLinePunct w:val="0"/>
        <w:autoSpaceDE/>
        <w:autoSpaceDN/>
        <w:bidi w:val="0"/>
        <w:snapToGrid/>
        <w:spacing w:line="560" w:lineRule="exact"/>
        <w:ind w:firstLine="643"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t>扩宽渠道，</w:t>
      </w:r>
      <w:r>
        <w:rPr>
          <w:rFonts w:hint="eastAsia" w:ascii="仿宋_GB2312" w:hAnsi="仿宋_GB2312" w:eastAsia="仿宋_GB2312" w:cs="仿宋_GB2312"/>
          <w:b/>
          <w:bCs/>
          <w:color w:val="000000"/>
          <w:sz w:val="32"/>
          <w:szCs w:val="32"/>
          <w:lang w:val="en-US" w:eastAsia="zh-CN"/>
        </w:rPr>
        <w:t>重点培育。</w:t>
      </w:r>
      <w:r>
        <w:rPr>
          <w:rFonts w:hint="eastAsia" w:ascii="仿宋_GB2312" w:hAnsi="仿宋_GB2312" w:eastAsia="仿宋_GB2312" w:cs="仿宋_GB2312"/>
          <w:b w:val="0"/>
          <w:bCs w:val="0"/>
          <w:color w:val="000000"/>
          <w:sz w:val="32"/>
          <w:szCs w:val="32"/>
          <w:lang w:val="en-US" w:eastAsia="zh-CN"/>
        </w:rPr>
        <w:t>鼓励有计划的学生咨询方向相关的教师，形成团队，将科技创新项目转化为创业实践。鼓励教师和符合条件的校友将科技成果转化，动员有相关课题的专业教师吸纳优秀学生参加科研团队，为学生参加学术科技活动实践创造良好的环境和条件。挖掘有竞争力的项目参加赛事、做好培育，给予场地、技术、人员、财力等方面支持。</w:t>
      </w:r>
    </w:p>
    <w:p>
      <w:pPr>
        <w:keepNext w:val="0"/>
        <w:keepLines w:val="0"/>
        <w:pageBreakBefore w:val="0"/>
        <w:widowControl w:val="0"/>
        <w:kinsoku/>
        <w:wordWrap/>
        <w:overflowPunct/>
        <w:topLinePunct w:val="0"/>
        <w:autoSpaceDE/>
        <w:autoSpaceDN/>
        <w:bidi w:val="0"/>
        <w:snapToGrid/>
        <w:spacing w:line="560" w:lineRule="exact"/>
        <w:ind w:firstLine="643"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bCs/>
          <w:color w:val="000000"/>
          <w:sz w:val="32"/>
          <w:szCs w:val="32"/>
          <w:lang w:val="en-US" w:eastAsia="zh-CN"/>
        </w:rPr>
        <w:t>3.严格审核，质量把关。</w:t>
      </w:r>
      <w:r>
        <w:rPr>
          <w:rFonts w:hint="eastAsia" w:ascii="仿宋_GB2312" w:hAnsi="仿宋_GB2312" w:eastAsia="仿宋_GB2312" w:cs="仿宋_GB2312"/>
          <w:b w:val="0"/>
          <w:bCs w:val="0"/>
          <w:color w:val="000000"/>
          <w:sz w:val="32"/>
          <w:szCs w:val="32"/>
          <w:lang w:val="en-US" w:eastAsia="zh-CN"/>
        </w:rPr>
        <w:t>各学院要严格按照大赛要求，切实做好作品遴选和指导工作，既要保证参赛项目质量，也要扩大和提升大赛的参与面、受益面、影响力，努力为实现大赛目标发挥积极作用和提供有力保障。</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五、报送要求</w:t>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各学院负责组织对申报作品进行资格审查和初评，</w:t>
      </w:r>
      <w:r>
        <w:rPr>
          <w:rFonts w:hint="eastAsia" w:ascii="仿宋_GB2312" w:hAnsi="仿宋_GB2312" w:eastAsia="仿宋_GB2312" w:cs="仿宋_GB2312"/>
          <w:b w:val="0"/>
          <w:bCs w:val="0"/>
          <w:color w:val="000000"/>
          <w:sz w:val="32"/>
          <w:szCs w:val="32"/>
          <w:lang w:val="en-US" w:eastAsia="zh-CN"/>
        </w:rPr>
        <w:t>确保作品申报材料的真实性、完整性和规范性，</w:t>
      </w:r>
      <w:r>
        <w:rPr>
          <w:rFonts w:hint="eastAsia" w:ascii="仿宋_GB2312" w:hAnsi="仿宋_GB2312" w:eastAsia="仿宋_GB2312" w:cs="仿宋_GB2312"/>
          <w:kern w:val="2"/>
          <w:sz w:val="32"/>
          <w:szCs w:val="32"/>
          <w:lang w:val="en-US" w:eastAsia="zh-CN" w:bidi="ar-SA"/>
        </w:rPr>
        <w:t>并形成推荐排序，于12月18日18:00前提交以下材料电子版至团委工作邮箱jnyxytw@163.com：</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hAnsi="仿宋" w:cstheme="minorBidi"/>
          <w:kern w:val="2"/>
          <w:sz w:val="32"/>
          <w:szCs w:val="32"/>
          <w:highlight w:val="none"/>
          <w:lang w:val="en-US" w:eastAsia="zh-CN" w:bidi="ar-SA"/>
        </w:rPr>
      </w:pPr>
      <w:r>
        <w:rPr>
          <w:rFonts w:hint="eastAsia" w:hAnsi="仿宋" w:cstheme="minorBidi"/>
          <w:kern w:val="2"/>
          <w:sz w:val="32"/>
          <w:szCs w:val="32"/>
          <w:highlight w:val="none"/>
          <w:lang w:val="en-US" w:eastAsia="zh-CN" w:bidi="ar-SA"/>
        </w:rPr>
        <w:t>1.申报作品材料：申报书、竞赛报名表（附件4）、发表论文、专利等支撑材料（仅报推荐作品）；</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eastAsia" w:hAnsi="仿宋" w:cstheme="minorBidi"/>
          <w:kern w:val="2"/>
          <w:sz w:val="32"/>
          <w:szCs w:val="32"/>
          <w:highlight w:val="none"/>
          <w:lang w:val="en-US" w:eastAsia="zh-CN" w:bidi="ar-SA"/>
        </w:rPr>
      </w:pPr>
      <w:r>
        <w:rPr>
          <w:rFonts w:hint="eastAsia" w:hAnsi="仿宋" w:cstheme="minorBidi"/>
          <w:kern w:val="2"/>
          <w:sz w:val="32"/>
          <w:szCs w:val="32"/>
          <w:highlight w:val="none"/>
          <w:lang w:val="en-US" w:eastAsia="zh-CN" w:bidi="ar-SA"/>
        </w:rPr>
        <w:t>2.作品信息汇总表（附件5）（学院初赛所有项目）；</w:t>
      </w:r>
    </w:p>
    <w:p>
      <w:pPr>
        <w:pStyle w:val="2"/>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rPr>
          <w:rFonts w:hint="default"/>
          <w:color w:val="auto"/>
          <w:sz w:val="32"/>
          <w:highlight w:val="none"/>
          <w:lang w:val="en-US"/>
        </w:rPr>
      </w:pPr>
      <w:r>
        <w:rPr>
          <w:rFonts w:hint="eastAsia" w:hAnsi="仿宋" w:cstheme="minorBidi"/>
          <w:kern w:val="2"/>
          <w:sz w:val="32"/>
          <w:szCs w:val="32"/>
          <w:highlight w:val="none"/>
          <w:lang w:val="en-US" w:eastAsia="zh-CN" w:bidi="ar-SA"/>
        </w:rPr>
        <w:t>3.学院初赛佐证材料：学院网站通讯或学院官微推文一览表（附件6）、初赛评审小组名单（附件7）。</w:t>
      </w:r>
    </w:p>
    <w:p>
      <w:pPr>
        <w:pStyle w:val="8"/>
        <w:keepNext w:val="0"/>
        <w:keepLines w:val="0"/>
        <w:pageBreakBefore w:val="0"/>
        <w:widowControl w:val="0"/>
        <w:numPr>
          <w:ilvl w:val="0"/>
          <w:numId w:val="0"/>
        </w:numPr>
        <w:tabs>
          <w:tab w:val="left" w:pos="1521"/>
          <w:tab w:val="left" w:pos="4289"/>
        </w:tabs>
        <w:kinsoku/>
        <w:wordWrap/>
        <w:overflowPunct/>
        <w:topLinePunct w:val="0"/>
        <w:autoSpaceDE/>
        <w:autoSpaceDN/>
        <w:bidi w:val="0"/>
        <w:adjustRightInd w:val="0"/>
        <w:snapToGrid w:val="0"/>
        <w:spacing w:after="0" w:line="560" w:lineRule="exact"/>
        <w:ind w:right="539" w:rightChars="0" w:firstLine="640" w:firstLineChars="200"/>
        <w:jc w:val="both"/>
        <w:textAlignment w:val="auto"/>
        <w:rPr>
          <w:color w:val="auto"/>
          <w:sz w:val="32"/>
        </w:rPr>
      </w:pPr>
    </w:p>
    <w:p>
      <w:pPr>
        <w:pStyle w:val="8"/>
        <w:keepNext w:val="0"/>
        <w:keepLines w:val="0"/>
        <w:pageBreakBefore w:val="0"/>
        <w:widowControl w:val="0"/>
        <w:numPr>
          <w:ilvl w:val="0"/>
          <w:numId w:val="0"/>
        </w:numPr>
        <w:tabs>
          <w:tab w:val="left" w:pos="1521"/>
          <w:tab w:val="left" w:pos="4289"/>
        </w:tabs>
        <w:kinsoku/>
        <w:wordWrap/>
        <w:overflowPunct/>
        <w:topLinePunct w:val="0"/>
        <w:autoSpaceDE/>
        <w:autoSpaceDN/>
        <w:bidi w:val="0"/>
        <w:adjustRightInd w:val="0"/>
        <w:snapToGrid w:val="0"/>
        <w:spacing w:after="0" w:line="560" w:lineRule="exact"/>
        <w:ind w:right="539" w:rightChars="0" w:firstLine="640" w:firstLineChars="200"/>
        <w:jc w:val="both"/>
        <w:textAlignment w:val="auto"/>
        <w:rPr>
          <w:rFonts w:hint="eastAsia"/>
          <w:color w:val="auto"/>
          <w:sz w:val="32"/>
          <w:highlight w:val="none"/>
          <w:lang w:val="en-US" w:eastAsia="zh-CN"/>
        </w:rPr>
      </w:pPr>
      <w:r>
        <w:rPr>
          <w:color w:val="auto"/>
          <w:sz w:val="32"/>
          <w:highlight w:val="none"/>
        </w:rPr>
        <w:t>联系人：</w:t>
      </w:r>
      <w:r>
        <w:rPr>
          <w:rFonts w:hint="eastAsia"/>
          <w:color w:val="auto"/>
          <w:sz w:val="32"/>
          <w:highlight w:val="none"/>
          <w:lang w:val="en-US" w:eastAsia="zh-CN"/>
        </w:rPr>
        <w:t>杜文平</w:t>
      </w:r>
      <w:r>
        <w:rPr>
          <w:rFonts w:hint="eastAsia"/>
          <w:b/>
          <w:color w:val="auto"/>
          <w:sz w:val="32"/>
          <w:highlight w:val="none"/>
          <w:lang w:val="en-US" w:eastAsia="zh-CN"/>
        </w:rPr>
        <w:t xml:space="preserve">  </w:t>
      </w:r>
      <w:r>
        <w:rPr>
          <w:color w:val="auto"/>
          <w:sz w:val="32"/>
          <w:highlight w:val="none"/>
        </w:rPr>
        <w:t>联系电话：</w:t>
      </w:r>
      <w:r>
        <w:rPr>
          <w:rFonts w:hint="eastAsia"/>
          <w:color w:val="auto"/>
          <w:sz w:val="32"/>
          <w:highlight w:val="none"/>
        </w:rPr>
        <w:t>0633-2983629</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jc w:val="both"/>
        <w:textAlignment w:val="auto"/>
        <w:rPr>
          <w:color w:val="auto"/>
          <w:sz w:val="32"/>
        </w:rPr>
      </w:pP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firstLine="640" w:firstLineChars="200"/>
        <w:jc w:val="both"/>
        <w:textAlignment w:val="auto"/>
        <w:rPr>
          <w:rFonts w:hint="eastAsia"/>
          <w:color w:val="auto"/>
          <w:sz w:val="32"/>
          <w:highlight w:val="none"/>
        </w:rPr>
      </w:pPr>
      <w:r>
        <w:rPr>
          <w:color w:val="auto"/>
          <w:sz w:val="32"/>
          <w:highlight w:val="none"/>
        </w:rPr>
        <w:t>附件：</w:t>
      </w:r>
      <w:r>
        <w:rPr>
          <w:rFonts w:hint="eastAsia"/>
          <w:color w:val="auto"/>
          <w:sz w:val="32"/>
          <w:highlight w:val="none"/>
          <w:lang w:val="en-US" w:eastAsia="zh-CN"/>
        </w:rPr>
        <w:t>1.</w:t>
      </w:r>
      <w:r>
        <w:rPr>
          <w:rFonts w:hint="eastAsia"/>
          <w:color w:val="auto"/>
          <w:sz w:val="32"/>
          <w:highlight w:val="none"/>
        </w:rPr>
        <w:t>“挑战杯”山东省大学生创业计划竞赛章程</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firstLine="1600" w:firstLineChars="500"/>
        <w:jc w:val="both"/>
        <w:textAlignment w:val="auto"/>
        <w:rPr>
          <w:rFonts w:hint="eastAsia"/>
          <w:color w:val="auto"/>
          <w:sz w:val="32"/>
          <w:highlight w:val="none"/>
        </w:rPr>
      </w:pPr>
      <w:r>
        <w:rPr>
          <w:rFonts w:hint="eastAsia" w:ascii="仿宋_GB2312" w:hAnsi="仿宋_GB2312" w:eastAsia="仿宋_GB2312" w:cs="仿宋_GB2312"/>
          <w:color w:val="auto"/>
          <w:kern w:val="2"/>
          <w:sz w:val="32"/>
          <w:szCs w:val="24"/>
          <w:lang w:val="zh-CN" w:eastAsia="zh-CN" w:bidi="zh-CN"/>
        </w:rPr>
        <w:t>2.</w:t>
      </w:r>
      <w:r>
        <w:rPr>
          <w:rFonts w:hint="eastAsia"/>
          <w:color w:val="auto"/>
          <w:sz w:val="32"/>
          <w:highlight w:val="none"/>
        </w:rPr>
        <w:t>“挑战杯”济宁医学院大学生创业计划竞赛创业计划书模板</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firstLine="1600" w:firstLineChars="500"/>
        <w:jc w:val="both"/>
        <w:textAlignment w:val="auto"/>
        <w:rPr>
          <w:rFonts w:hint="eastAsia"/>
          <w:color w:val="auto"/>
          <w:sz w:val="32"/>
          <w:highlight w:val="none"/>
          <w:lang w:val="en-US" w:eastAsia="zh-CN"/>
        </w:rPr>
      </w:pPr>
      <w:r>
        <w:rPr>
          <w:rFonts w:hint="eastAsia"/>
          <w:color w:val="auto"/>
          <w:sz w:val="32"/>
          <w:highlight w:val="none"/>
          <w:lang w:val="en-US" w:eastAsia="zh-CN"/>
        </w:rPr>
        <w:t>3.“挑战杯”山东省大学生创业计划竞赛评审要点</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firstLine="1600" w:firstLineChars="500"/>
        <w:jc w:val="both"/>
        <w:textAlignment w:val="auto"/>
        <w:rPr>
          <w:rFonts w:hint="default"/>
          <w:color w:val="auto"/>
          <w:sz w:val="32"/>
          <w:highlight w:val="none"/>
          <w:lang w:val="en-US" w:eastAsia="zh-CN"/>
        </w:rPr>
      </w:pPr>
      <w:r>
        <w:rPr>
          <w:rFonts w:hint="eastAsia"/>
          <w:color w:val="auto"/>
          <w:sz w:val="32"/>
          <w:highlight w:val="none"/>
          <w:lang w:val="en-US" w:eastAsia="zh-CN"/>
        </w:rPr>
        <w:t>4.</w:t>
      </w:r>
      <w:r>
        <w:rPr>
          <w:rFonts w:hint="default"/>
          <w:color w:val="auto"/>
          <w:sz w:val="32"/>
          <w:highlight w:val="none"/>
          <w:lang w:val="en-US" w:eastAsia="zh-CN"/>
        </w:rPr>
        <w:t>第十四届“挑战杯”济宁医学院大学生创业计划竞赛报名表</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right="0" w:rightChars="0" w:firstLine="1600" w:firstLineChars="500"/>
        <w:jc w:val="both"/>
        <w:textAlignment w:val="auto"/>
        <w:rPr>
          <w:rFonts w:hint="default"/>
          <w:color w:val="auto"/>
          <w:sz w:val="32"/>
          <w:highlight w:val="none"/>
          <w:lang w:val="en-US" w:eastAsia="zh-CN"/>
        </w:rPr>
      </w:pPr>
      <w:r>
        <w:rPr>
          <w:rFonts w:hint="eastAsia"/>
          <w:color w:val="auto"/>
          <w:sz w:val="32"/>
          <w:highlight w:val="none"/>
          <w:lang w:val="en-US" w:eastAsia="zh-CN"/>
        </w:rPr>
        <w:t>5.第十四届“挑战杯”济宁医学院大学生创业计划竞赛信息汇总表</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leftChars="200" w:right="0" w:rightChars="0" w:firstLine="1200" w:firstLineChars="375"/>
        <w:jc w:val="both"/>
        <w:textAlignment w:val="auto"/>
        <w:rPr>
          <w:rFonts w:hint="default"/>
          <w:color w:val="auto"/>
          <w:sz w:val="32"/>
          <w:highlight w:val="none"/>
          <w:lang w:val="en-US" w:eastAsia="zh-CN"/>
        </w:rPr>
      </w:pPr>
      <w:r>
        <w:rPr>
          <w:rFonts w:hint="eastAsia"/>
          <w:color w:val="auto"/>
          <w:sz w:val="32"/>
          <w:highlight w:val="none"/>
          <w:lang w:val="en-US" w:eastAsia="zh-CN"/>
        </w:rPr>
        <w:t>6.学院初赛通讯发布一览表</w:t>
      </w:r>
    </w:p>
    <w:p>
      <w:pPr>
        <w:pStyle w:val="8"/>
        <w:keepNext w:val="0"/>
        <w:keepLines w:val="0"/>
        <w:pageBreakBefore w:val="0"/>
        <w:widowControl w:val="0"/>
        <w:numPr>
          <w:ilvl w:val="0"/>
          <w:numId w:val="0"/>
        </w:numPr>
        <w:tabs>
          <w:tab w:val="left" w:pos="2098"/>
        </w:tabs>
        <w:kinsoku/>
        <w:wordWrap/>
        <w:overflowPunct/>
        <w:topLinePunct w:val="0"/>
        <w:autoSpaceDE/>
        <w:autoSpaceDN/>
        <w:bidi w:val="0"/>
        <w:adjustRightInd w:val="0"/>
        <w:snapToGrid w:val="0"/>
        <w:spacing w:after="0" w:line="560" w:lineRule="exact"/>
        <w:ind w:leftChars="200" w:right="0" w:rightChars="0" w:firstLine="1200" w:firstLineChars="375"/>
        <w:jc w:val="both"/>
        <w:textAlignment w:val="auto"/>
        <w:rPr>
          <w:rFonts w:hint="eastAsia" w:ascii="仿宋_GB2312" w:hAnsi="仿宋_GB2312" w:eastAsia="仿宋_GB2312" w:cs="仿宋_GB2312"/>
          <w:b w:val="0"/>
          <w:bCs w:val="0"/>
          <w:color w:val="000000"/>
          <w:sz w:val="32"/>
          <w:szCs w:val="32"/>
          <w:highlight w:val="yellow"/>
          <w:lang w:val="en-US" w:eastAsia="zh-CN"/>
        </w:rPr>
      </w:pPr>
      <w:r>
        <w:rPr>
          <w:rFonts w:hint="eastAsia"/>
          <w:color w:val="auto"/>
          <w:sz w:val="32"/>
          <w:highlight w:val="none"/>
          <w:lang w:val="en-US" w:eastAsia="zh-CN"/>
        </w:rPr>
        <w:t>7.“挑战杯”初赛评审小组名单</w:t>
      </w:r>
      <w:r>
        <w:rPr>
          <w:highlight w:val="yellow"/>
        </w:rPr>
        <w:drawing>
          <wp:anchor distT="0" distB="0" distL="114300" distR="114300" simplePos="0" relativeHeight="251661312" behindDoc="0" locked="0" layoutInCell="1" allowOverlap="1">
            <wp:simplePos x="0" y="0"/>
            <wp:positionH relativeFrom="column">
              <wp:posOffset>4900930</wp:posOffset>
            </wp:positionH>
            <wp:positionV relativeFrom="paragraph">
              <wp:posOffset>7162800</wp:posOffset>
            </wp:positionV>
            <wp:extent cx="1527175" cy="1527175"/>
            <wp:effectExtent l="0" t="0" r="15875" b="15875"/>
            <wp:wrapNone/>
            <wp:docPr id="9" name="图片 2" descr="用户:张庆瑞&#10;时间:2008-03-17 08:57:50&#10;印章:共青团济宁医学院委员会公章&#10;使用者:团委&#10;标识:174CC8F1BB29FA62EB8DBAFB0AD4D7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用户:张庆瑞&#10;时间:2008-03-17 08:57:50&#10;印章:共青团济宁医学院委员会公章&#10;使用者:团委&#10;标识:174CC8F1BB29FA62EB8DBAFB0AD4D7DD"/>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527175" cy="1527175"/>
                    </a:xfrm>
                    <a:prstGeom prst="rect">
                      <a:avLst/>
                    </a:prstGeom>
                    <a:noFill/>
                    <a:ln>
                      <a:noFill/>
                    </a:ln>
                  </pic:spPr>
                </pic:pic>
              </a:graphicData>
            </a:graphic>
          </wp:anchor>
        </w:drawing>
      </w:r>
      <w:r>
        <w:rPr>
          <w:highlight w:val="yellow"/>
        </w:rPr>
        <w:drawing>
          <wp:anchor distT="0" distB="0" distL="114300" distR="114300" simplePos="0" relativeHeight="251660288" behindDoc="0" locked="0" layoutInCell="1" allowOverlap="1">
            <wp:simplePos x="0" y="0"/>
            <wp:positionH relativeFrom="column">
              <wp:posOffset>4748530</wp:posOffset>
            </wp:positionH>
            <wp:positionV relativeFrom="paragraph">
              <wp:posOffset>7010400</wp:posOffset>
            </wp:positionV>
            <wp:extent cx="1527175" cy="1527175"/>
            <wp:effectExtent l="0" t="0" r="15875" b="15875"/>
            <wp:wrapNone/>
            <wp:docPr id="8" name="图片 2" descr="用户:张庆瑞&#10;时间:2008-03-17 08:57:50&#10;印章:共青团济宁医学院委员会公章&#10;使用者:团委&#10;标识:174CC8F1BB29FA62EB8DBAFB0AD4D7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用户:张庆瑞&#10;时间:2008-03-17 08:57:50&#10;印章:共青团济宁医学院委员会公章&#10;使用者:团委&#10;标识:174CC8F1BB29FA62EB8DBAFB0AD4D7DD"/>
                    <pic:cNvPicPr>
                      <a:picLocks noChangeAspect="1"/>
                    </pic:cNvPicPr>
                  </pic:nvPicPr>
                  <pic:blipFill>
                    <a:blip r:embed="rId5">
                      <a:clrChange>
                        <a:clrFrom>
                          <a:srgbClr val="FFFFFF"/>
                        </a:clrFrom>
                        <a:clrTo>
                          <a:srgbClr val="FFFFFF">
                            <a:alpha val="0"/>
                          </a:srgbClr>
                        </a:clrTo>
                      </a:clrChange>
                    </a:blip>
                    <a:stretch>
                      <a:fillRect/>
                    </a:stretch>
                  </pic:blipFill>
                  <pic:spPr>
                    <a:xfrm>
                      <a:off x="0" y="0"/>
                      <a:ext cx="1527175" cy="15271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_GB2312" w:hAnsi="仿宋_GB2312" w:eastAsia="仿宋_GB2312" w:cs="仿宋_GB2312"/>
          <w:b w:val="0"/>
          <w:bCs w:val="0"/>
          <w:color w:val="000000"/>
          <w:sz w:val="32"/>
          <w:szCs w:val="32"/>
          <w:lang w:val="en-US" w:eastAsia="zh-CN"/>
        </w:rPr>
      </w:pPr>
    </w:p>
    <w:p>
      <w:pPr>
        <w:keepNext w:val="0"/>
        <w:keepLines w:val="0"/>
        <w:pageBreakBefore w:val="0"/>
        <w:widowControl w:val="0"/>
        <w:kinsoku/>
        <w:wordWrap/>
        <w:overflowPunct/>
        <w:topLinePunct w:val="0"/>
        <w:autoSpaceDE/>
        <w:autoSpaceDN/>
        <w:bidi w:val="0"/>
        <w:snapToGrid/>
        <w:spacing w:line="560" w:lineRule="exact"/>
        <w:textAlignment w:val="auto"/>
        <w:rPr>
          <w:rFonts w:hint="eastAsia" w:ascii="仿宋_GB2312" w:hAnsi="华文中宋" w:eastAsia="仿宋_GB2312"/>
          <w:color w:val="000000"/>
          <w:sz w:val="32"/>
          <w:szCs w:val="32"/>
        </w:rPr>
      </w:pPr>
    </w:p>
    <w:p>
      <w:pPr>
        <w:keepNext w:val="0"/>
        <w:keepLines w:val="0"/>
        <w:pageBreakBefore w:val="0"/>
        <w:widowControl w:val="0"/>
        <w:kinsoku/>
        <w:wordWrap/>
        <w:overflowPunct/>
        <w:topLinePunct w:val="0"/>
        <w:autoSpaceDE/>
        <w:autoSpaceDN/>
        <w:bidi w:val="0"/>
        <w:adjustRightInd w:val="0"/>
        <w:snapToGrid/>
        <w:spacing w:line="560" w:lineRule="exact"/>
        <w:ind w:firstLine="4800" w:firstLineChars="1500"/>
        <w:jc w:val="left"/>
        <w:textAlignment w:val="auto"/>
        <w:rPr>
          <w:rFonts w:hint="eastAsia" w:ascii="仿宋_GB2312" w:hAnsi="华文中宋" w:eastAsia="仿宋_GB2312"/>
          <w:color w:val="000000"/>
          <w:sz w:val="32"/>
          <w:szCs w:val="32"/>
          <w:lang w:val="en-US" w:eastAsia="zh-CN"/>
        </w:rPr>
      </w:pPr>
      <w:r>
        <w:rPr>
          <w:rFonts w:hint="eastAsia" w:ascii="仿宋_GB2312" w:hAnsi="华文中宋" w:eastAsia="仿宋_GB2312"/>
          <w:color w:val="000000"/>
          <w:sz w:val="32"/>
          <w:szCs w:val="32"/>
          <w:lang w:val="en-US" w:eastAsia="zh-CN"/>
        </w:rPr>
        <w:t>共青团济宁医学院委员会</w:t>
      </w:r>
    </w:p>
    <w:p>
      <w:pPr>
        <w:keepNext w:val="0"/>
        <w:keepLines w:val="0"/>
        <w:pageBreakBefore w:val="0"/>
        <w:widowControl w:val="0"/>
        <w:kinsoku/>
        <w:wordWrap w:val="0"/>
        <w:overflowPunct/>
        <w:topLinePunct w:val="0"/>
        <w:autoSpaceDE/>
        <w:autoSpaceDN/>
        <w:bidi w:val="0"/>
        <w:adjustRightInd w:val="0"/>
        <w:snapToGrid/>
        <w:spacing w:line="560" w:lineRule="exact"/>
        <w:jc w:val="left"/>
        <w:textAlignment w:val="auto"/>
        <w:rPr>
          <w:rFonts w:hint="default" w:eastAsia="仿宋_GB2312"/>
          <w:lang w:val="en-US" w:eastAsia="zh-CN"/>
        </w:rPr>
      </w:pPr>
      <w:r>
        <w:rPr>
          <w:rFonts w:hint="eastAsia" w:ascii="仿宋_GB2312" w:hAnsi="华文中宋" w:eastAsia="仿宋_GB2312"/>
          <w:color w:val="000000"/>
          <w:sz w:val="32"/>
          <w:szCs w:val="32"/>
          <w:lang w:val="en-US" w:eastAsia="zh-CN"/>
        </w:rPr>
        <w:t xml:space="preserve">                                 </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23</w:t>
      </w:r>
      <w:r>
        <w:rPr>
          <w:rFonts w:hint="eastAsia" w:ascii="仿宋_GB2312" w:eastAsia="仿宋_GB2312"/>
          <w:color w:val="000000"/>
          <w:sz w:val="32"/>
          <w:szCs w:val="32"/>
        </w:rPr>
        <w:t>年1</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25</w:t>
      </w:r>
      <w:r>
        <w:rPr>
          <w:rFonts w:hint="eastAsia" w:ascii="仿宋_GB2312" w:eastAsia="仿宋_GB2312"/>
          <w:color w:val="000000"/>
          <w:sz w:val="32"/>
          <w:szCs w:val="32"/>
        </w:rPr>
        <w:t>日</w:t>
      </w:r>
    </w:p>
    <w:p>
      <w:pPr>
        <w:keepNext w:val="0"/>
        <w:keepLines w:val="0"/>
        <w:pageBreakBefore w:val="0"/>
        <w:widowControl w:val="0"/>
        <w:kinsoku/>
        <w:wordWrap/>
        <w:overflowPunct/>
        <w:topLinePunct w:val="0"/>
        <w:autoSpaceDE/>
        <w:autoSpaceDN/>
        <w:bidi w:val="0"/>
        <w:spacing w:line="560" w:lineRule="exact"/>
        <w:textAlignment w:val="auto"/>
      </w:pPr>
      <w:bookmarkStart w:id="0" w:name="_GoBack"/>
      <w:bookmarkEnd w:id="0"/>
    </w:p>
    <w:sectPr>
      <w:footerReference r:id="rId3" w:type="default"/>
      <w:pgSz w:w="11906" w:h="16838"/>
      <w:pgMar w:top="1440" w:right="1701" w:bottom="1440" w:left="1701" w:header="851" w:footer="99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MzE4ZDMwZWI1MzFkZjU0NmZlNzhkNTE0OTNiYTgifQ=="/>
  </w:docVars>
  <w:rsids>
    <w:rsidRoot w:val="44653F44"/>
    <w:rsid w:val="0143790B"/>
    <w:rsid w:val="04DA5E4A"/>
    <w:rsid w:val="0CC00650"/>
    <w:rsid w:val="180D3B06"/>
    <w:rsid w:val="322F1E64"/>
    <w:rsid w:val="3F353EA3"/>
    <w:rsid w:val="40095632"/>
    <w:rsid w:val="44653F44"/>
    <w:rsid w:val="51FF6894"/>
    <w:rsid w:val="67C972D1"/>
    <w:rsid w:val="7B15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1"/>
    <w:pPr>
      <w:ind w:left="120"/>
    </w:pPr>
    <w:rPr>
      <w:rFonts w:ascii="仿宋_GB2312" w:hAnsi="仿宋_GB2312" w:eastAsia="仿宋_GB2312" w:cs="仿宋_GB2312"/>
      <w:sz w:val="32"/>
      <w:szCs w:val="32"/>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List Paragraph"/>
    <w:basedOn w:val="1"/>
    <w:qFormat/>
    <w:uiPriority w:val="1"/>
    <w:pPr>
      <w:ind w:left="120" w:firstLine="640"/>
    </w:pPr>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2023-10-20T08:26:00Z</dcterms:created>
  <dc:creator>菲菲猪</dc:creator>
  <cp:lastModifiedBy>叶上初阳</cp:lastModifiedBy>
  <cp:lastPrinted>2023-10-24T03:09:00Z</cp:lastPrinted>
  <dcterms:modified xsi:type="dcterms:W3CDTF">2023-10-24T22:45:30Z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884A925E10CB4861A38E4018F722E615_11</vt:lpwstr>
  </property>
</Properties>
</file>