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方正小标宋简体" w:hAnsi="方正小标宋_GBK" w:eastAsia="方正小标宋简体" w:cs="方正小标宋_GBK"/>
          <w:sz w:val="44"/>
          <w:szCs w:val="44"/>
        </w:rPr>
      </w:pPr>
      <w:r>
        <w:rPr>
          <w:rFonts w:hint="eastAsia" w:ascii="方正小标宋简体" w:hAnsi="方正小标宋_GBK" w:eastAsia="方正小标宋简体" w:cs="方正小标宋_GBK"/>
          <w:sz w:val="44"/>
          <w:szCs w:val="44"/>
        </w:rPr>
        <w:t>关于征集</w:t>
      </w:r>
    </w:p>
    <w:p>
      <w:pPr>
        <w:spacing w:line="560" w:lineRule="exact"/>
        <w:jc w:val="center"/>
        <w:rPr>
          <w:rFonts w:hint="eastAsia" w:ascii="方正小标宋简体" w:hAnsi="方正小标宋_GBK" w:eastAsia="方正小标宋简体" w:cs="方正小标宋_GBK"/>
          <w:sz w:val="44"/>
          <w:szCs w:val="44"/>
        </w:rPr>
      </w:pPr>
      <w:r>
        <w:rPr>
          <w:rFonts w:hint="eastAsia" w:ascii="方正小标宋简体" w:hAnsi="方正小标宋_GBK" w:eastAsia="方正小标宋简体" w:cs="方正小标宋_GBK"/>
          <w:sz w:val="44"/>
          <w:szCs w:val="44"/>
        </w:rPr>
        <w:t>“全国普通高校大学生竞赛排行榜”部分竞赛项目校内承办意向的通知</w:t>
      </w:r>
    </w:p>
    <w:p>
      <w:pPr>
        <w:spacing w:line="560" w:lineRule="exact"/>
        <w:jc w:val="center"/>
        <w:rPr>
          <w:rFonts w:hint="eastAsia" w:ascii="方正小标宋简体" w:hAnsi="方正小标宋_GBK" w:eastAsia="方正小标宋简体" w:cs="方正小标宋_GBK"/>
          <w:sz w:val="44"/>
          <w:szCs w:val="44"/>
        </w:rPr>
      </w:pPr>
    </w:p>
    <w:p>
      <w:pPr>
        <w:spacing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各学院：</w:t>
      </w:r>
    </w:p>
    <w:p>
      <w:pPr>
        <w:widowControl/>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为统筹做好我校大学生学科竞赛工作，</w:t>
      </w:r>
      <w:r>
        <w:rPr>
          <w:rFonts w:hint="eastAsia" w:ascii="仿宋_GB2312" w:hAnsi="仿宋_GB2312" w:eastAsia="仿宋_GB2312" w:cs="仿宋_GB2312"/>
          <w:sz w:val="32"/>
          <w:szCs w:val="32"/>
          <w:lang w:eastAsia="zh-CN"/>
        </w:rPr>
        <w:t>根据学校</w:t>
      </w:r>
      <w:r>
        <w:rPr>
          <w:rFonts w:hint="eastAsia" w:ascii="仿宋_GB2312" w:hAnsi="仿宋_GB2312" w:eastAsia="仿宋_GB2312" w:cs="仿宋_GB2312"/>
          <w:sz w:val="32"/>
          <w:szCs w:val="32"/>
        </w:rPr>
        <w:t>高质量发展绩效考核</w:t>
      </w:r>
      <w:r>
        <w:rPr>
          <w:rFonts w:hint="eastAsia" w:ascii="仿宋_GB2312" w:hAnsi="仿宋_GB2312" w:eastAsia="仿宋_GB2312" w:cs="仿宋_GB2312"/>
          <w:sz w:val="32"/>
          <w:szCs w:val="32"/>
          <w:lang w:eastAsia="zh-CN"/>
        </w:rPr>
        <w:t>相关</w:t>
      </w:r>
      <w:r>
        <w:rPr>
          <w:rFonts w:hint="eastAsia" w:ascii="仿宋_GB2312" w:hAnsi="仿宋_GB2312" w:eastAsia="仿宋_GB2312" w:cs="仿宋_GB2312"/>
          <w:sz w:val="32"/>
          <w:szCs w:val="32"/>
        </w:rPr>
        <w:t>工作</w:t>
      </w:r>
      <w:r>
        <w:rPr>
          <w:rFonts w:hint="eastAsia" w:ascii="仿宋_GB2312" w:hAnsi="仿宋_GB2312" w:eastAsia="仿宋_GB2312" w:cs="仿宋_GB2312"/>
          <w:sz w:val="32"/>
          <w:szCs w:val="32"/>
          <w:lang w:eastAsia="zh-CN"/>
        </w:rPr>
        <w:t>要求，</w:t>
      </w:r>
      <w:r>
        <w:rPr>
          <w:rFonts w:hint="eastAsia" w:ascii="仿宋_GB2312" w:hAnsi="仿宋_GB2312" w:eastAsia="仿宋_GB2312" w:cs="仿宋_GB2312"/>
          <w:sz w:val="32"/>
          <w:szCs w:val="32"/>
        </w:rPr>
        <w:t>经研究</w:t>
      </w:r>
      <w:bookmarkStart w:id="6" w:name="_GoBack"/>
      <w:bookmarkEnd w:id="6"/>
      <w:r>
        <w:rPr>
          <w:rFonts w:hint="eastAsia" w:ascii="仿宋_GB2312" w:hAnsi="仿宋_GB2312" w:eastAsia="仿宋_GB2312" w:cs="仿宋_GB2312"/>
          <w:sz w:val="32"/>
          <w:szCs w:val="32"/>
        </w:rPr>
        <w:t>，决定面向各二级学院征集“全国普通高校大学生竞赛排行榜”部分竞赛项目校内承办意向。现就有关事宜通知如下：</w:t>
      </w:r>
    </w:p>
    <w:p>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一、征集范围</w:t>
      </w:r>
    </w:p>
    <w:p>
      <w:pPr>
        <w:autoSpaceDE w:val="0"/>
        <w:adjustRightInd w:val="0"/>
        <w:snapToGrid w:val="0"/>
        <w:spacing w:line="56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各二级学院</w:t>
      </w:r>
    </w:p>
    <w:p>
      <w:pPr>
        <w:widowControl/>
        <w:numPr>
          <w:ilvl w:val="0"/>
          <w:numId w:val="1"/>
        </w:numPr>
        <w:spacing w:line="560" w:lineRule="exact"/>
        <w:ind w:firstLine="640" w:firstLineChars="200"/>
        <w:rPr>
          <w:rFonts w:ascii="黑体" w:hAnsi="黑体" w:eastAsia="黑体"/>
          <w:sz w:val="32"/>
          <w:szCs w:val="32"/>
        </w:rPr>
      </w:pPr>
      <w:r>
        <w:rPr>
          <w:rFonts w:hint="eastAsia" w:ascii="黑体" w:hAnsi="黑体" w:eastAsia="黑体"/>
          <w:sz w:val="32"/>
          <w:szCs w:val="32"/>
          <w:lang w:eastAsia="zh-CN"/>
        </w:rPr>
        <w:t>承</w:t>
      </w:r>
      <w:r>
        <w:rPr>
          <w:rFonts w:hint="eastAsia" w:ascii="黑体" w:hAnsi="黑体" w:eastAsia="黑体"/>
          <w:sz w:val="32"/>
          <w:szCs w:val="32"/>
        </w:rPr>
        <w:t>办条件</w:t>
      </w:r>
    </w:p>
    <w:p>
      <w:pPr>
        <w:numPr>
          <w:ilvl w:val="255"/>
          <w:numId w:val="0"/>
        </w:numPr>
        <w:autoSpaceDE w:val="0"/>
        <w:adjustRightInd w:val="0"/>
        <w:snapToGrid w:val="0"/>
        <w:spacing w:line="560" w:lineRule="exact"/>
        <w:ind w:firstLine="640" w:firstLineChars="200"/>
        <w:jc w:val="left"/>
        <w:rPr>
          <w:rFonts w:ascii="仿宋_GB2312" w:hAnsi="仿宋_GB2312" w:eastAsia="仿宋_GB2312" w:cs="仿宋_GB2312"/>
          <w:sz w:val="32"/>
          <w:szCs w:val="32"/>
        </w:rPr>
      </w:pPr>
      <w:bookmarkStart w:id="0" w:name="OLE_LINK5"/>
      <w:r>
        <w:rPr>
          <w:rFonts w:ascii="仿宋_GB2312" w:hAnsi="仿宋_GB2312" w:eastAsia="仿宋_GB2312" w:cs="仿宋_GB2312"/>
          <w:sz w:val="32"/>
          <w:szCs w:val="32"/>
        </w:rPr>
        <w:t>1</w:t>
      </w:r>
      <w:r>
        <w:rPr>
          <w:rFonts w:hint="eastAsia" w:ascii="仿宋_GB2312" w:hAnsi="仿宋_GB2312" w:eastAsia="仿宋_GB2312" w:cs="仿宋_GB2312"/>
          <w:sz w:val="32"/>
          <w:szCs w:val="32"/>
        </w:rPr>
        <w:t>.具有较强的组织实施、参赛动员和赛务保障能力，具备完善的竞赛组织体系和实施方案，能够协调各方资源，确保竞赛顺利进行；</w:t>
      </w:r>
    </w:p>
    <w:p>
      <w:pPr>
        <w:numPr>
          <w:ilvl w:val="255"/>
          <w:numId w:val="0"/>
        </w:numPr>
        <w:autoSpaceDE w:val="0"/>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2.具备办赛必要的场地、设施、设备、耗材等硬件资源，并确保场地安全；</w:t>
      </w:r>
    </w:p>
    <w:p>
      <w:pPr>
        <w:numPr>
          <w:ilvl w:val="255"/>
          <w:numId w:val="0"/>
        </w:numPr>
        <w:autoSpaceDE w:val="0"/>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ascii="仿宋_GB2312" w:hAnsi="仿宋_GB2312" w:eastAsia="仿宋_GB2312" w:cs="仿宋_GB2312"/>
          <w:sz w:val="32"/>
          <w:szCs w:val="32"/>
        </w:rPr>
        <w:t>明确</w:t>
      </w:r>
      <w:r>
        <w:rPr>
          <w:rFonts w:hint="eastAsia" w:ascii="仿宋_GB2312" w:hAnsi="仿宋_GB2312" w:eastAsia="仿宋_GB2312" w:cs="仿宋_GB2312"/>
          <w:sz w:val="32"/>
          <w:szCs w:val="32"/>
        </w:rPr>
        <w:t>的</w:t>
      </w:r>
      <w:r>
        <w:rPr>
          <w:rFonts w:hint="eastAsia" w:ascii="仿宋_GB2312" w:hAnsi="仿宋_GB2312" w:eastAsia="仿宋_GB2312" w:cs="仿宋_GB2312"/>
          <w:sz w:val="32"/>
          <w:szCs w:val="32"/>
          <w:lang w:eastAsia="zh-CN"/>
        </w:rPr>
        <w:t>竞赛</w:t>
      </w:r>
      <w:r>
        <w:rPr>
          <w:rFonts w:ascii="仿宋_GB2312" w:hAnsi="仿宋_GB2312" w:eastAsia="仿宋_GB2312" w:cs="仿宋_GB2312"/>
          <w:sz w:val="32"/>
          <w:szCs w:val="32"/>
        </w:rPr>
        <w:t>负责人，</w:t>
      </w:r>
      <w:r>
        <w:rPr>
          <w:rFonts w:hint="eastAsia" w:ascii="仿宋_GB2312" w:hAnsi="仿宋_GB2312" w:eastAsia="仿宋_GB2312" w:cs="仿宋_GB2312"/>
          <w:sz w:val="32"/>
          <w:szCs w:val="32"/>
        </w:rPr>
        <w:t>配备熟悉竞赛</w:t>
      </w:r>
      <w:r>
        <w:rPr>
          <w:rFonts w:hint="eastAsia" w:ascii="仿宋_GB2312" w:hAnsi="仿宋_GB2312" w:eastAsia="仿宋_GB2312" w:cs="仿宋_GB2312"/>
          <w:sz w:val="32"/>
          <w:szCs w:val="32"/>
          <w:lang w:eastAsia="zh-CN"/>
        </w:rPr>
        <w:t>流程</w:t>
      </w:r>
      <w:r>
        <w:rPr>
          <w:rFonts w:hint="eastAsia" w:ascii="仿宋_GB2312" w:hAnsi="仿宋_GB2312" w:eastAsia="仿宋_GB2312" w:cs="仿宋_GB2312"/>
          <w:sz w:val="32"/>
          <w:szCs w:val="32"/>
        </w:rPr>
        <w:t>的管理人员和符合相关要求的专家队伍及专业技术技能人员等竞赛团队</w:t>
      </w:r>
      <w:r>
        <w:rPr>
          <w:rFonts w:ascii="仿宋_GB2312" w:hAnsi="仿宋_GB2312" w:eastAsia="仿宋_GB2312" w:cs="仿宋_GB2312"/>
          <w:sz w:val="32"/>
          <w:szCs w:val="32"/>
        </w:rPr>
        <w:t>，能</w:t>
      </w:r>
      <w:r>
        <w:rPr>
          <w:rFonts w:hint="eastAsia" w:ascii="仿宋_GB2312" w:hAnsi="仿宋_GB2312" w:eastAsia="仿宋_GB2312" w:cs="仿宋_GB2312"/>
          <w:sz w:val="32"/>
          <w:szCs w:val="32"/>
        </w:rPr>
        <w:t>够</w:t>
      </w:r>
      <w:r>
        <w:rPr>
          <w:rFonts w:ascii="仿宋_GB2312" w:hAnsi="仿宋_GB2312" w:eastAsia="仿宋_GB2312" w:cs="仿宋_GB2312"/>
          <w:sz w:val="32"/>
          <w:szCs w:val="32"/>
        </w:rPr>
        <w:t>按要求完成相应的赛务工作；</w:t>
      </w:r>
    </w:p>
    <w:p>
      <w:pPr>
        <w:widowControl/>
        <w:autoSpaceDE w:val="0"/>
        <w:adjustRightInd w:val="0"/>
        <w:snapToGrid w:val="0"/>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4.</w:t>
      </w:r>
      <w:r>
        <w:rPr>
          <w:rFonts w:hint="eastAsia" w:ascii="仿宋_GB2312" w:hAnsi="仿宋_GB2312" w:eastAsia="仿宋_GB2312" w:cs="仿宋_GB2312"/>
          <w:sz w:val="32"/>
          <w:szCs w:val="32"/>
          <w:lang w:val="en-US" w:eastAsia="zh-CN"/>
        </w:rPr>
        <w:t>具有较为广泛</w:t>
      </w:r>
      <w:r>
        <w:rPr>
          <w:rFonts w:hint="eastAsia" w:ascii="仿宋_GB2312" w:hAnsi="仿宋_GB2312" w:eastAsia="仿宋_GB2312" w:cs="仿宋_GB2312"/>
          <w:sz w:val="32"/>
          <w:szCs w:val="32"/>
        </w:rPr>
        <w:t>的宣传渠道和媒体资源，能够扩大竞赛影响力，吸引更多参赛者和社会关注；</w:t>
      </w:r>
    </w:p>
    <w:p>
      <w:pPr>
        <w:numPr>
          <w:ilvl w:val="255"/>
          <w:numId w:val="0"/>
        </w:numPr>
        <w:autoSpaceDE w:val="0"/>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lang w:eastAsia="zh-CN"/>
        </w:rPr>
        <w:t>具备</w:t>
      </w:r>
      <w:r>
        <w:rPr>
          <w:rFonts w:hint="eastAsia" w:ascii="仿宋_GB2312" w:hAnsi="仿宋_GB2312" w:eastAsia="仿宋_GB2312" w:cs="仿宋_GB2312"/>
          <w:sz w:val="32"/>
          <w:szCs w:val="32"/>
        </w:rPr>
        <w:t>与竞赛规模相适应的经费保障。</w:t>
      </w:r>
    </w:p>
    <w:bookmarkEnd w:id="0"/>
    <w:p>
      <w:pPr>
        <w:spacing w:line="560" w:lineRule="exact"/>
        <w:ind w:firstLine="640" w:firstLineChars="200"/>
        <w:rPr>
          <w:rFonts w:ascii="仿宋_GB2312" w:hAnsi="仿宋_GB2312" w:eastAsia="仿宋_GB2312" w:cs="仿宋_GB2312"/>
          <w:sz w:val="32"/>
          <w:szCs w:val="32"/>
        </w:rPr>
      </w:pPr>
      <w:r>
        <w:rPr>
          <w:rFonts w:hint="eastAsia" w:ascii="黑体" w:hAnsi="黑体" w:eastAsia="黑体"/>
          <w:sz w:val="32"/>
          <w:szCs w:val="32"/>
        </w:rPr>
        <w:t>三、工作要求</w:t>
      </w:r>
    </w:p>
    <w:p>
      <w:pPr>
        <w:widowControl/>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承办单位负责竞赛的组织与实施。主要包括：宣传发动、下发通知、收集作品、组织评审、报送材料</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选拔学生或作品参加上级竞赛</w:t>
      </w:r>
      <w:r>
        <w:rPr>
          <w:rFonts w:hint="eastAsia" w:ascii="仿宋_GB2312" w:hAnsi="仿宋_GB2312" w:eastAsia="仿宋_GB2312" w:cs="仿宋_GB2312"/>
          <w:sz w:val="32"/>
          <w:szCs w:val="32"/>
          <w:lang w:eastAsia="zh-CN"/>
        </w:rPr>
        <w:t>以及</w:t>
      </w:r>
      <w:r>
        <w:rPr>
          <w:rFonts w:hint="eastAsia" w:ascii="仿宋_GB2312" w:hAnsi="仿宋_GB2312" w:eastAsia="仿宋_GB2312" w:cs="仿宋_GB2312"/>
          <w:sz w:val="32"/>
          <w:szCs w:val="32"/>
        </w:rPr>
        <w:t>赛后总结等工作。</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四、</w:t>
      </w:r>
      <w:r>
        <w:rPr>
          <w:rFonts w:hint="eastAsia" w:ascii="黑体" w:hAnsi="黑体" w:eastAsia="黑体"/>
          <w:sz w:val="32"/>
          <w:szCs w:val="32"/>
          <w:lang w:eastAsia="zh-CN"/>
        </w:rPr>
        <w:t>承</w:t>
      </w:r>
      <w:r>
        <w:rPr>
          <w:rFonts w:hint="eastAsia" w:ascii="黑体" w:hAnsi="黑体" w:eastAsia="黑体"/>
          <w:sz w:val="32"/>
          <w:szCs w:val="32"/>
        </w:rPr>
        <w:t>办程序</w:t>
      </w:r>
    </w:p>
    <w:p>
      <w:pPr>
        <w:autoSpaceDE w:val="0"/>
        <w:adjustRightInd w:val="0"/>
        <w:snapToGrid w:val="0"/>
        <w:spacing w:line="560" w:lineRule="exact"/>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lang w:val="en-US" w:eastAsia="zh-CN"/>
        </w:rPr>
        <w:t>一</w:t>
      </w: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rPr>
        <w:t>发布竞赛项目。</w:t>
      </w:r>
      <w:r>
        <w:rPr>
          <w:rFonts w:hint="eastAsia" w:ascii="仿宋_GB2312" w:hAnsi="仿宋_GB2312" w:eastAsia="仿宋_GB2312" w:cs="仿宋_GB2312"/>
          <w:sz w:val="32"/>
          <w:szCs w:val="32"/>
          <w:lang w:val="en-US" w:eastAsia="zh-CN"/>
        </w:rPr>
        <w:t>校团委筛选</w:t>
      </w:r>
      <w:r>
        <w:rPr>
          <w:rFonts w:hint="eastAsia" w:ascii="仿宋_GB2312" w:hAnsi="仿宋_GB2312" w:eastAsia="仿宋_GB2312" w:cs="仿宋_GB2312"/>
          <w:sz w:val="32"/>
          <w:szCs w:val="32"/>
        </w:rPr>
        <w:t>发布《全国普通高校大学生竞赛排行榜校内</w:t>
      </w:r>
      <w:r>
        <w:rPr>
          <w:rFonts w:hint="eastAsia" w:ascii="仿宋_GB2312" w:hAnsi="仿宋_GB2312" w:eastAsia="仿宋_GB2312" w:cs="仿宋_GB2312"/>
          <w:sz w:val="32"/>
          <w:szCs w:val="32"/>
          <w:lang w:eastAsia="zh-CN"/>
        </w:rPr>
        <w:t>承</w:t>
      </w:r>
      <w:r>
        <w:rPr>
          <w:rFonts w:hint="eastAsia" w:ascii="仿宋_GB2312" w:hAnsi="仿宋_GB2312" w:eastAsia="仿宋_GB2312" w:cs="仿宋_GB2312"/>
          <w:sz w:val="32"/>
          <w:szCs w:val="32"/>
        </w:rPr>
        <w:t>办赛事目录》（</w:t>
      </w:r>
      <w:r>
        <w:rPr>
          <w:rFonts w:hint="eastAsia" w:ascii="仿宋_GB2312" w:hAnsi="仿宋_GB2312" w:eastAsia="仿宋_GB2312" w:cs="仿宋_GB2312"/>
          <w:sz w:val="32"/>
          <w:szCs w:val="32"/>
          <w:lang w:val="en-US" w:eastAsia="zh-CN"/>
        </w:rPr>
        <w:t>详</w:t>
      </w:r>
      <w:r>
        <w:rPr>
          <w:rFonts w:hint="eastAsia" w:ascii="仿宋_GB2312" w:hAnsi="仿宋_GB2312" w:eastAsia="仿宋_GB2312" w:cs="仿宋_GB2312"/>
          <w:sz w:val="32"/>
          <w:szCs w:val="32"/>
        </w:rPr>
        <w:t>见附件1）。</w:t>
      </w:r>
    </w:p>
    <w:p>
      <w:pPr>
        <w:autoSpaceDE w:val="0"/>
        <w:adjustRightInd w:val="0"/>
        <w:snapToGrid w:val="0"/>
        <w:spacing w:line="560" w:lineRule="exact"/>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lang w:val="en-US" w:eastAsia="zh-CN"/>
        </w:rPr>
        <w:t>二</w:t>
      </w: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rPr>
        <w:t>学院提交申报。</w:t>
      </w:r>
      <w:r>
        <w:rPr>
          <w:rFonts w:hint="eastAsia" w:ascii="仿宋_GB2312" w:hAnsi="仿宋_GB2312" w:eastAsia="仿宋_GB2312" w:cs="仿宋_GB2312"/>
          <w:sz w:val="32"/>
          <w:szCs w:val="32"/>
        </w:rPr>
        <w:t>有意向承办的学院填写《竞赛项目</w:t>
      </w:r>
      <w:r>
        <w:rPr>
          <w:rFonts w:hint="eastAsia" w:ascii="仿宋_GB2312" w:hAnsi="仿宋_GB2312" w:eastAsia="仿宋_GB2312" w:cs="仿宋_GB2312"/>
          <w:sz w:val="32"/>
          <w:szCs w:val="32"/>
          <w:lang w:val="en-US" w:eastAsia="zh-CN"/>
        </w:rPr>
        <w:t>承办</w:t>
      </w:r>
      <w:r>
        <w:rPr>
          <w:rFonts w:hint="eastAsia" w:ascii="仿宋_GB2312" w:hAnsi="仿宋_GB2312" w:eastAsia="仿宋_GB2312" w:cs="仿宋_GB2312"/>
          <w:sz w:val="32"/>
          <w:szCs w:val="32"/>
        </w:rPr>
        <w:t>申报表》（附件2），并于3月10日11:00前以学院为单位发至指定邮箱。</w:t>
      </w:r>
    </w:p>
    <w:p>
      <w:pPr>
        <w:autoSpaceDE w:val="0"/>
        <w:adjustRightInd w:val="0"/>
        <w:snapToGrid w:val="0"/>
        <w:spacing w:line="560" w:lineRule="exact"/>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lang w:val="en-US" w:eastAsia="zh-CN"/>
        </w:rPr>
        <w:t>三</w:t>
      </w: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rPr>
        <w:t>学校评定。</w:t>
      </w:r>
      <w:r>
        <w:rPr>
          <w:rFonts w:hint="eastAsia" w:ascii="仿宋_GB2312" w:hAnsi="仿宋_GB2312" w:eastAsia="仿宋_GB2312" w:cs="仿宋_GB2312"/>
          <w:sz w:val="32"/>
          <w:szCs w:val="32"/>
        </w:rPr>
        <w:t>学校组织评定小组，通过材料评审、现场评估等方式择优确定竞赛项目承办单位。</w:t>
      </w:r>
      <w:bookmarkStart w:id="1" w:name="OLE_LINK3"/>
      <w:bookmarkStart w:id="2" w:name="OLE_LINK4"/>
      <w:bookmarkStart w:id="3" w:name="OLE_LINK7"/>
    </w:p>
    <w:p>
      <w:pPr>
        <w:autoSpaceDE w:val="0"/>
        <w:spacing w:line="560" w:lineRule="exact"/>
        <w:ind w:firstLine="640" w:firstLineChars="200"/>
        <w:rPr>
          <w:rFonts w:ascii="仿宋_GB2312" w:eastAsia="仿宋_GB2312"/>
          <w:sz w:val="32"/>
          <w:szCs w:val="32"/>
        </w:rPr>
      </w:pPr>
    </w:p>
    <w:p>
      <w:pPr>
        <w:autoSpaceDE w:val="0"/>
        <w:spacing w:line="560" w:lineRule="exact"/>
        <w:ind w:firstLine="640" w:firstLineChars="200"/>
        <w:rPr>
          <w:rFonts w:ascii="仿宋_GB2312" w:eastAsia="仿宋_GB2312"/>
          <w:sz w:val="32"/>
          <w:szCs w:val="32"/>
        </w:rPr>
      </w:pPr>
      <w:r>
        <w:rPr>
          <w:rFonts w:hint="eastAsia" w:ascii="仿宋_GB2312" w:eastAsia="仿宋_GB2312"/>
          <w:sz w:val="32"/>
          <w:szCs w:val="32"/>
        </w:rPr>
        <w:t>联系人：孟凯（济宁校区）663715/孙安康（日照校区）</w:t>
      </w:r>
      <w:r>
        <w:rPr>
          <w:rFonts w:ascii="仿宋_GB2312" w:eastAsia="仿宋_GB2312"/>
          <w:sz w:val="32"/>
          <w:szCs w:val="32"/>
        </w:rPr>
        <w:t>622596</w:t>
      </w:r>
      <w:bookmarkEnd w:id="1"/>
      <w:bookmarkEnd w:id="2"/>
      <w:bookmarkEnd w:id="3"/>
    </w:p>
    <w:p>
      <w:pPr>
        <w:pStyle w:val="16"/>
        <w:widowControl/>
        <w:spacing w:beforeAutospacing="0" w:afterAutospacing="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邮  箱：</w:t>
      </w:r>
      <w:r>
        <w:rPr>
          <w:rFonts w:ascii="仿宋_GB2312" w:eastAsia="仿宋_GB2312" w:cs="宋体"/>
          <w:kern w:val="2"/>
          <w:sz w:val="32"/>
          <w:szCs w:val="32"/>
        </w:rPr>
        <w:t>3219873006@qq.com</w:t>
      </w:r>
      <w:r>
        <w:rPr>
          <w:rFonts w:hint="eastAsia" w:ascii="仿宋_GB2312" w:eastAsia="仿宋_GB2312" w:cs="宋体"/>
          <w:kern w:val="2"/>
          <w:sz w:val="32"/>
          <w:szCs w:val="32"/>
        </w:rPr>
        <w:t xml:space="preserve">    </w:t>
      </w:r>
      <w:r>
        <w:rPr>
          <w:rFonts w:hint="eastAsia" w:ascii="仿宋_GB2312" w:hAnsi="仿宋_GB2312" w:eastAsia="仿宋_GB2312" w:cs="仿宋_GB2312"/>
          <w:sz w:val="32"/>
          <w:szCs w:val="32"/>
        </w:rPr>
        <w:t xml:space="preserve">           </w:t>
      </w:r>
    </w:p>
    <w:p>
      <w:pPr>
        <w:spacing w:line="560" w:lineRule="exact"/>
        <w:ind w:firstLine="640" w:firstLineChars="200"/>
        <w:rPr>
          <w:rFonts w:ascii="仿宋_GB2312" w:hAnsi="仿宋_GB2312" w:eastAsia="仿宋_GB2312" w:cs="仿宋_GB2312"/>
          <w:sz w:val="32"/>
          <w:szCs w:val="32"/>
        </w:rPr>
      </w:pPr>
    </w:p>
    <w:p>
      <w:pPr>
        <w:spacing w:line="560" w:lineRule="exact"/>
        <w:ind w:left="1598" w:leftChars="304" w:hanging="960" w:hangingChars="300"/>
        <w:rPr>
          <w:rFonts w:ascii="仿宋_GB2312" w:hAnsi="仿宋_GB2312" w:eastAsia="仿宋_GB2312" w:cs="仿宋_GB2312"/>
          <w:sz w:val="32"/>
          <w:szCs w:val="32"/>
        </w:rPr>
      </w:pPr>
      <w:r>
        <w:rPr>
          <w:rFonts w:hint="eastAsia" w:ascii="仿宋_GB2312" w:hAnsi="仿宋_GB2312" w:eastAsia="仿宋_GB2312" w:cs="仿宋_GB2312"/>
          <w:sz w:val="32"/>
          <w:szCs w:val="32"/>
        </w:rPr>
        <w:t>附件：1.《全国普通高校大学生竞赛排行榜校内</w:t>
      </w:r>
      <w:r>
        <w:rPr>
          <w:rFonts w:hint="eastAsia" w:ascii="仿宋_GB2312" w:hAnsi="仿宋_GB2312" w:eastAsia="仿宋_GB2312" w:cs="仿宋_GB2312"/>
          <w:sz w:val="32"/>
          <w:szCs w:val="32"/>
          <w:lang w:eastAsia="zh-CN"/>
        </w:rPr>
        <w:t>承</w:t>
      </w:r>
      <w:r>
        <w:rPr>
          <w:rFonts w:hint="eastAsia" w:ascii="仿宋_GB2312" w:hAnsi="仿宋_GB2312" w:eastAsia="仿宋_GB2312" w:cs="仿宋_GB2312"/>
          <w:sz w:val="32"/>
          <w:szCs w:val="32"/>
        </w:rPr>
        <w:t>办赛事目录》</w:t>
      </w:r>
    </w:p>
    <w:p>
      <w:pPr>
        <w:spacing w:line="560" w:lineRule="exact"/>
        <w:ind w:firstLine="1600" w:firstLineChars="500"/>
        <w:rPr>
          <w:rFonts w:ascii="仿宋_GB2312" w:hAnsi="仿宋_GB2312" w:eastAsia="仿宋_GB2312" w:cs="仿宋_GB2312"/>
          <w:sz w:val="32"/>
          <w:szCs w:val="32"/>
          <w:highlight w:val="yellow"/>
        </w:rPr>
      </w:pPr>
      <w:r>
        <w:rPr>
          <w:rFonts w:hint="eastAsia" w:ascii="仿宋_GB2312" w:hAnsi="仿宋_GB2312" w:eastAsia="仿宋_GB2312" w:cs="仿宋_GB2312"/>
          <w:sz w:val="32"/>
          <w:szCs w:val="32"/>
        </w:rPr>
        <w:t>2.《</w:t>
      </w:r>
      <w:bookmarkStart w:id="4" w:name="OLE_LINK2"/>
      <w:bookmarkStart w:id="5" w:name="OLE_LINK1"/>
      <w:r>
        <w:rPr>
          <w:rFonts w:hint="eastAsia" w:ascii="仿宋_GB2312" w:hAnsi="仿宋_GB2312" w:eastAsia="仿宋_GB2312" w:cs="仿宋_GB2312"/>
          <w:sz w:val="32"/>
          <w:szCs w:val="32"/>
        </w:rPr>
        <w:t>竞赛项目</w:t>
      </w:r>
      <w:r>
        <w:rPr>
          <w:rFonts w:hint="eastAsia" w:ascii="仿宋_GB2312" w:hAnsi="仿宋_GB2312" w:eastAsia="仿宋_GB2312" w:cs="仿宋_GB2312"/>
          <w:sz w:val="32"/>
          <w:szCs w:val="32"/>
          <w:lang w:val="en-US" w:eastAsia="zh-CN"/>
        </w:rPr>
        <w:t>承办</w:t>
      </w:r>
      <w:r>
        <w:rPr>
          <w:rFonts w:hint="eastAsia" w:ascii="仿宋_GB2312" w:hAnsi="仿宋_GB2312" w:eastAsia="仿宋_GB2312" w:cs="仿宋_GB2312"/>
          <w:sz w:val="32"/>
          <w:szCs w:val="32"/>
        </w:rPr>
        <w:t>申报表</w:t>
      </w:r>
      <w:bookmarkEnd w:id="4"/>
      <w:bookmarkEnd w:id="5"/>
      <w:r>
        <w:rPr>
          <w:rFonts w:hint="eastAsia" w:ascii="仿宋_GB2312" w:hAnsi="仿宋_GB2312" w:eastAsia="仿宋_GB2312" w:cs="仿宋_GB2312"/>
          <w:sz w:val="32"/>
          <w:szCs w:val="32"/>
        </w:rPr>
        <w:t>》</w:t>
      </w:r>
    </w:p>
    <w:p>
      <w:pPr>
        <w:spacing w:line="560" w:lineRule="exact"/>
        <w:rPr>
          <w:rFonts w:ascii="仿宋_GB2312" w:hAnsi="仿宋_GB2312" w:eastAsia="仿宋_GB2312" w:cs="仿宋_GB2312"/>
          <w:sz w:val="32"/>
          <w:szCs w:val="32"/>
        </w:rPr>
      </w:pPr>
    </w:p>
    <w:p>
      <w:pPr>
        <w:spacing w:line="560" w:lineRule="exact"/>
        <w:rPr>
          <w:rFonts w:ascii="仿宋_GB2312" w:hAnsi="仿宋_GB2312" w:eastAsia="仿宋_GB2312" w:cs="仿宋_GB2312"/>
          <w:sz w:val="32"/>
          <w:szCs w:val="32"/>
        </w:rPr>
      </w:pPr>
    </w:p>
    <w:p>
      <w:pPr>
        <w:spacing w:line="560" w:lineRule="exact"/>
        <w:ind w:left="1920" w:leftChars="762" w:hanging="320" w:hangingChars="100"/>
        <w:jc w:val="center"/>
        <w:rPr>
          <w:rFonts w:ascii="仿宋_GB2312" w:eastAsia="仿宋_GB2312"/>
          <w:sz w:val="32"/>
          <w:szCs w:val="32"/>
        </w:rPr>
      </w:pPr>
      <w:r>
        <w:rPr>
          <w:rFonts w:hint="eastAsia" w:ascii="仿宋_GB2312" w:eastAsia="仿宋_GB2312"/>
          <w:sz w:val="32"/>
          <w:szCs w:val="32"/>
        </w:rPr>
        <w:t xml:space="preserve">                   团委</w:t>
      </w:r>
    </w:p>
    <w:p>
      <w:pPr>
        <w:spacing w:line="560" w:lineRule="exact"/>
        <w:ind w:left="1920" w:leftChars="762" w:hanging="320" w:hangingChars="100"/>
        <w:jc w:val="center"/>
      </w:pPr>
      <w:r>
        <w:rPr>
          <w:rFonts w:hint="eastAsia" w:ascii="仿宋_GB2312" w:eastAsia="仿宋_GB2312"/>
          <w:sz w:val="32"/>
          <w:szCs w:val="32"/>
        </w:rPr>
        <w:t xml:space="preserve">                   </w:t>
      </w:r>
      <w:r>
        <w:rPr>
          <w:rFonts w:ascii="仿宋_GB2312" w:eastAsia="仿宋_GB2312"/>
          <w:sz w:val="32"/>
          <w:szCs w:val="32"/>
        </w:rPr>
        <w:t>2025年</w:t>
      </w:r>
      <w:r>
        <w:rPr>
          <w:rFonts w:hint="eastAsia" w:ascii="仿宋_GB2312" w:eastAsia="仿宋_GB2312"/>
          <w:sz w:val="32"/>
          <w:szCs w:val="32"/>
        </w:rPr>
        <w:t>3</w:t>
      </w:r>
      <w:r>
        <w:rPr>
          <w:rFonts w:ascii="仿宋_GB2312" w:eastAsia="仿宋_GB2312"/>
          <w:sz w:val="32"/>
          <w:szCs w:val="32"/>
        </w:rPr>
        <w:t>月</w:t>
      </w:r>
      <w:r>
        <w:rPr>
          <w:rFonts w:hint="eastAsia" w:ascii="仿宋_GB2312" w:eastAsia="仿宋_GB2312"/>
          <w:sz w:val="32"/>
          <w:szCs w:val="32"/>
        </w:rPr>
        <w:t>5</w:t>
      </w:r>
      <w:r>
        <w:rPr>
          <w:rFonts w:ascii="仿宋_GB2312" w:eastAsia="仿宋_GB2312"/>
          <w:sz w:val="32"/>
          <w:szCs w:val="32"/>
        </w:rPr>
        <w:t>日</w:t>
      </w:r>
    </w:p>
    <w:sectPr>
      <w:footerReference r:id="rId3" w:type="default"/>
      <w:pgSz w:w="11906" w:h="16838"/>
      <w:pgMar w:top="1361" w:right="1644" w:bottom="1361" w:left="164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7644673-E0A9-43C5-8C51-51A9CBB29C8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小标宋简体">
    <w:panose1 w:val="03000509000000000000"/>
    <w:charset w:val="86"/>
    <w:family w:val="auto"/>
    <w:pitch w:val="default"/>
    <w:sig w:usb0="00000001" w:usb1="080E0000" w:usb2="00000000" w:usb3="00000000" w:csb0="00040000" w:csb1="00000000"/>
    <w:embedRegular r:id="rId2" w:fontKey="{473641E3-6DD5-4634-90D0-2A90CEEF09F0}"/>
  </w:font>
  <w:font w:name="方正小标宋_GBK">
    <w:altName w:val="微软雅黑"/>
    <w:panose1 w:val="00000000000000000000"/>
    <w:charset w:val="86"/>
    <w:family w:val="auto"/>
    <w:pitch w:val="default"/>
    <w:sig w:usb0="00000000" w:usb1="00000000" w:usb2="00082016" w:usb3="00000000" w:csb0="00040001" w:csb1="00000000"/>
    <w:embedRegular r:id="rId3" w:fontKey="{15C48FFC-F9BD-4288-B8A2-E01DF6A9A2B0}"/>
  </w:font>
  <w:font w:name="仿宋_GB2312">
    <w:panose1 w:val="02010609030101010101"/>
    <w:charset w:val="86"/>
    <w:family w:val="modern"/>
    <w:pitch w:val="default"/>
    <w:sig w:usb0="00000001" w:usb1="080E0000" w:usb2="00000000" w:usb3="00000000" w:csb0="00040000" w:csb1="00000000"/>
    <w:embedRegular r:id="rId4" w:fontKey="{1641DB53-09B6-4A19-BE94-C8831F31F5F0}"/>
  </w:font>
  <w:font w:name="楷体_GB2312">
    <w:panose1 w:val="02010609030101010101"/>
    <w:charset w:val="86"/>
    <w:family w:val="auto"/>
    <w:pitch w:val="default"/>
    <w:sig w:usb0="00000001" w:usb1="080E0000" w:usb2="00000000" w:usb3="00000000" w:csb0="00040000" w:csb1="00000000"/>
    <w:embedRegular r:id="rId5" w:fontKey="{3D57483B-BE17-42C5-828F-A3B9CD078888}"/>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r>
      <w:fldChar w:fldCharType="begin"/>
    </w:r>
    <w:r>
      <w:instrText xml:space="preserve">PAGE   \* MERGEFORMAT</w:instrText>
    </w:r>
    <w:r>
      <w:fldChar w:fldCharType="separate"/>
    </w:r>
    <w:r>
      <w:rPr>
        <w:lang w:val="zh-CN"/>
      </w:rPr>
      <w:t>2</w:t>
    </w:r>
    <w:r>
      <w:fldChar w:fldCharType="end"/>
    </w:r>
  </w:p>
  <w:p>
    <w:pPr>
      <w:pStyle w:val="1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D59C68"/>
    <w:multiLevelType w:val="singleLevel"/>
    <w:tmpl w:val="CCD59C68"/>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0497"/>
    <w:rsid w:val="00027A24"/>
    <w:rsid w:val="000B4DA1"/>
    <w:rsid w:val="001842D0"/>
    <w:rsid w:val="0025235D"/>
    <w:rsid w:val="002C4846"/>
    <w:rsid w:val="00372C1C"/>
    <w:rsid w:val="003F5023"/>
    <w:rsid w:val="00426805"/>
    <w:rsid w:val="0049337A"/>
    <w:rsid w:val="00495D20"/>
    <w:rsid w:val="00586FFD"/>
    <w:rsid w:val="005F7B20"/>
    <w:rsid w:val="00601DE4"/>
    <w:rsid w:val="006823CB"/>
    <w:rsid w:val="007215EE"/>
    <w:rsid w:val="0074118C"/>
    <w:rsid w:val="007D0559"/>
    <w:rsid w:val="008E69FD"/>
    <w:rsid w:val="00977E79"/>
    <w:rsid w:val="00A70957"/>
    <w:rsid w:val="00B253F7"/>
    <w:rsid w:val="00C038CD"/>
    <w:rsid w:val="00C13E24"/>
    <w:rsid w:val="00C30497"/>
    <w:rsid w:val="00C75624"/>
    <w:rsid w:val="00E25004"/>
    <w:rsid w:val="00E457C9"/>
    <w:rsid w:val="00E53CFD"/>
    <w:rsid w:val="00E62BFB"/>
    <w:rsid w:val="00EC5C15"/>
    <w:rsid w:val="00EF1A35"/>
    <w:rsid w:val="00FD0940"/>
    <w:rsid w:val="00FE6355"/>
    <w:rsid w:val="054F20FF"/>
    <w:rsid w:val="08280CF2"/>
    <w:rsid w:val="1144698A"/>
    <w:rsid w:val="1B3E3557"/>
    <w:rsid w:val="287870AE"/>
    <w:rsid w:val="29AB204B"/>
    <w:rsid w:val="2CC463DF"/>
    <w:rsid w:val="34126680"/>
    <w:rsid w:val="3AAE4AEB"/>
    <w:rsid w:val="3CB30CEE"/>
    <w:rsid w:val="464858DB"/>
    <w:rsid w:val="4FDC681F"/>
    <w:rsid w:val="5CA9553D"/>
    <w:rsid w:val="5F2E0EDF"/>
    <w:rsid w:val="63823F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宋体"/>
      <w:kern w:val="2"/>
      <w:sz w:val="21"/>
      <w:szCs w:val="24"/>
      <w:lang w:val="en-US" w:eastAsia="zh-CN" w:bidi="ar-SA"/>
    </w:rPr>
  </w:style>
  <w:style w:type="paragraph" w:styleId="2">
    <w:name w:val="heading 1"/>
    <w:basedOn w:val="1"/>
    <w:next w:val="1"/>
    <w:link w:val="22"/>
    <w:qFormat/>
    <w:uiPriority w:val="9"/>
    <w:pPr>
      <w:keepNext/>
      <w:keepLines/>
      <w:spacing w:before="480" w:after="80" w:line="278" w:lineRule="auto"/>
      <w:jc w:val="left"/>
      <w:outlineLvl w:val="0"/>
    </w:pPr>
    <w:rPr>
      <w:rFonts w:ascii="等线 Light" w:hAnsi="等线 Light" w:eastAsia="等线 Light"/>
      <w:color w:val="2F5597"/>
      <w:sz w:val="48"/>
      <w:szCs w:val="48"/>
    </w:rPr>
  </w:style>
  <w:style w:type="paragraph" w:styleId="3">
    <w:name w:val="heading 2"/>
    <w:basedOn w:val="1"/>
    <w:next w:val="1"/>
    <w:link w:val="23"/>
    <w:qFormat/>
    <w:uiPriority w:val="9"/>
    <w:pPr>
      <w:keepNext/>
      <w:keepLines/>
      <w:spacing w:before="160" w:after="80" w:line="278" w:lineRule="auto"/>
      <w:jc w:val="left"/>
      <w:outlineLvl w:val="1"/>
    </w:pPr>
    <w:rPr>
      <w:rFonts w:ascii="等线 Light" w:hAnsi="等线 Light" w:eastAsia="等线 Light"/>
      <w:color w:val="2F5597"/>
      <w:sz w:val="40"/>
      <w:szCs w:val="40"/>
    </w:rPr>
  </w:style>
  <w:style w:type="paragraph" w:styleId="4">
    <w:name w:val="heading 3"/>
    <w:basedOn w:val="1"/>
    <w:next w:val="1"/>
    <w:link w:val="24"/>
    <w:qFormat/>
    <w:uiPriority w:val="9"/>
    <w:pPr>
      <w:keepNext/>
      <w:keepLines/>
      <w:spacing w:before="160" w:after="80" w:line="278" w:lineRule="auto"/>
      <w:jc w:val="left"/>
      <w:outlineLvl w:val="2"/>
    </w:pPr>
    <w:rPr>
      <w:rFonts w:ascii="等线 Light" w:hAnsi="等线 Light" w:eastAsia="等线 Light"/>
      <w:color w:val="2F5597"/>
      <w:sz w:val="32"/>
      <w:szCs w:val="32"/>
    </w:rPr>
  </w:style>
  <w:style w:type="paragraph" w:styleId="5">
    <w:name w:val="heading 4"/>
    <w:basedOn w:val="1"/>
    <w:next w:val="1"/>
    <w:link w:val="25"/>
    <w:qFormat/>
    <w:uiPriority w:val="9"/>
    <w:pPr>
      <w:keepNext/>
      <w:keepLines/>
      <w:spacing w:before="80" w:after="40" w:line="278" w:lineRule="auto"/>
      <w:jc w:val="left"/>
      <w:outlineLvl w:val="3"/>
    </w:pPr>
    <w:rPr>
      <w:color w:val="2F5597"/>
      <w:sz w:val="28"/>
      <w:szCs w:val="28"/>
    </w:rPr>
  </w:style>
  <w:style w:type="paragraph" w:styleId="6">
    <w:name w:val="heading 5"/>
    <w:basedOn w:val="1"/>
    <w:next w:val="1"/>
    <w:link w:val="26"/>
    <w:qFormat/>
    <w:uiPriority w:val="9"/>
    <w:pPr>
      <w:keepNext/>
      <w:keepLines/>
      <w:spacing w:before="80" w:after="40" w:line="278" w:lineRule="auto"/>
      <w:jc w:val="left"/>
      <w:outlineLvl w:val="4"/>
    </w:pPr>
    <w:rPr>
      <w:color w:val="2F5597"/>
      <w:sz w:val="24"/>
    </w:rPr>
  </w:style>
  <w:style w:type="paragraph" w:styleId="7">
    <w:name w:val="heading 6"/>
    <w:basedOn w:val="1"/>
    <w:next w:val="1"/>
    <w:link w:val="27"/>
    <w:qFormat/>
    <w:uiPriority w:val="9"/>
    <w:pPr>
      <w:keepNext/>
      <w:keepLines/>
      <w:spacing w:before="40" w:line="278" w:lineRule="auto"/>
      <w:jc w:val="left"/>
      <w:outlineLvl w:val="5"/>
    </w:pPr>
    <w:rPr>
      <w:b/>
      <w:bCs/>
      <w:color w:val="2F5597"/>
      <w:sz w:val="22"/>
    </w:rPr>
  </w:style>
  <w:style w:type="paragraph" w:styleId="8">
    <w:name w:val="heading 7"/>
    <w:basedOn w:val="1"/>
    <w:next w:val="1"/>
    <w:link w:val="28"/>
    <w:qFormat/>
    <w:uiPriority w:val="9"/>
    <w:pPr>
      <w:keepNext/>
      <w:keepLines/>
      <w:spacing w:before="40" w:line="278" w:lineRule="auto"/>
      <w:jc w:val="left"/>
      <w:outlineLvl w:val="6"/>
    </w:pPr>
    <w:rPr>
      <w:b/>
      <w:bCs/>
      <w:color w:val="595959"/>
      <w:sz w:val="22"/>
    </w:rPr>
  </w:style>
  <w:style w:type="paragraph" w:styleId="9">
    <w:name w:val="heading 8"/>
    <w:basedOn w:val="1"/>
    <w:next w:val="1"/>
    <w:link w:val="29"/>
    <w:qFormat/>
    <w:uiPriority w:val="9"/>
    <w:pPr>
      <w:keepNext/>
      <w:keepLines/>
      <w:spacing w:line="278" w:lineRule="auto"/>
      <w:jc w:val="left"/>
      <w:outlineLvl w:val="7"/>
    </w:pPr>
    <w:rPr>
      <w:color w:val="595959"/>
      <w:sz w:val="22"/>
    </w:rPr>
  </w:style>
  <w:style w:type="paragraph" w:styleId="10">
    <w:name w:val="heading 9"/>
    <w:basedOn w:val="1"/>
    <w:next w:val="1"/>
    <w:link w:val="30"/>
    <w:qFormat/>
    <w:uiPriority w:val="9"/>
    <w:pPr>
      <w:keepNext/>
      <w:keepLines/>
      <w:spacing w:line="278" w:lineRule="auto"/>
      <w:jc w:val="left"/>
      <w:outlineLvl w:val="8"/>
    </w:pPr>
    <w:rPr>
      <w:rFonts w:eastAsia="等线 Light"/>
      <w:color w:val="595959"/>
      <w:sz w:val="22"/>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semiHidden/>
    <w:unhideWhenUsed/>
    <w:qFormat/>
    <w:uiPriority w:val="99"/>
    <w:pPr>
      <w:jc w:val="left"/>
    </w:pPr>
  </w:style>
  <w:style w:type="paragraph" w:styleId="12">
    <w:name w:val="Balloon Text"/>
    <w:basedOn w:val="1"/>
    <w:link w:val="42"/>
    <w:qFormat/>
    <w:uiPriority w:val="99"/>
    <w:rPr>
      <w:sz w:val="18"/>
      <w:szCs w:val="18"/>
    </w:rPr>
  </w:style>
  <w:style w:type="paragraph" w:styleId="13">
    <w:name w:val="footer"/>
    <w:basedOn w:val="1"/>
    <w:link w:val="41"/>
    <w:qFormat/>
    <w:uiPriority w:val="99"/>
    <w:pPr>
      <w:tabs>
        <w:tab w:val="center" w:pos="4153"/>
        <w:tab w:val="right" w:pos="8306"/>
      </w:tabs>
      <w:snapToGrid w:val="0"/>
      <w:jc w:val="left"/>
    </w:pPr>
    <w:rPr>
      <w:sz w:val="18"/>
      <w:szCs w:val="18"/>
    </w:rPr>
  </w:style>
  <w:style w:type="paragraph" w:styleId="14">
    <w:name w:val="header"/>
    <w:basedOn w:val="1"/>
    <w:link w:val="40"/>
    <w:qFormat/>
    <w:uiPriority w:val="99"/>
    <w:pPr>
      <w:pBdr>
        <w:bottom w:val="single" w:color="auto" w:sz="6" w:space="1"/>
      </w:pBdr>
      <w:tabs>
        <w:tab w:val="center" w:pos="4153"/>
        <w:tab w:val="right" w:pos="8306"/>
      </w:tabs>
      <w:snapToGrid w:val="0"/>
      <w:jc w:val="center"/>
    </w:pPr>
    <w:rPr>
      <w:sz w:val="18"/>
      <w:szCs w:val="18"/>
    </w:rPr>
  </w:style>
  <w:style w:type="paragraph" w:styleId="15">
    <w:name w:val="Subtitle"/>
    <w:basedOn w:val="1"/>
    <w:next w:val="1"/>
    <w:link w:val="32"/>
    <w:qFormat/>
    <w:uiPriority w:val="11"/>
    <w:pPr>
      <w:spacing w:after="160" w:line="278" w:lineRule="auto"/>
      <w:jc w:val="center"/>
    </w:pPr>
    <w:rPr>
      <w:rFonts w:ascii="等线 Light" w:hAnsi="等线 Light" w:eastAsia="等线 Light"/>
      <w:color w:val="595959"/>
      <w:spacing w:val="15"/>
      <w:sz w:val="28"/>
      <w:szCs w:val="28"/>
    </w:rPr>
  </w:style>
  <w:style w:type="paragraph" w:styleId="16">
    <w:name w:val="Normal (Web)"/>
    <w:basedOn w:val="1"/>
    <w:qFormat/>
    <w:uiPriority w:val="0"/>
    <w:pPr>
      <w:spacing w:beforeAutospacing="1" w:afterAutospacing="1"/>
      <w:jc w:val="left"/>
    </w:pPr>
    <w:rPr>
      <w:rFonts w:cs="Times New Roman"/>
      <w:kern w:val="0"/>
      <w:sz w:val="24"/>
    </w:rPr>
  </w:style>
  <w:style w:type="paragraph" w:styleId="17">
    <w:name w:val="Title"/>
    <w:basedOn w:val="1"/>
    <w:next w:val="1"/>
    <w:link w:val="31"/>
    <w:qFormat/>
    <w:uiPriority w:val="10"/>
    <w:pPr>
      <w:spacing w:after="80"/>
      <w:contextualSpacing/>
      <w:jc w:val="center"/>
    </w:pPr>
    <w:rPr>
      <w:rFonts w:ascii="等线 Light" w:hAnsi="等线 Light" w:eastAsia="等线 Light"/>
      <w:spacing w:val="-10"/>
      <w:kern w:val="28"/>
      <w:sz w:val="56"/>
      <w:szCs w:val="56"/>
    </w:rPr>
  </w:style>
  <w:style w:type="character" w:styleId="20">
    <w:name w:val="Strong"/>
    <w:basedOn w:val="19"/>
    <w:qFormat/>
    <w:uiPriority w:val="0"/>
    <w:rPr>
      <w:b/>
    </w:rPr>
  </w:style>
  <w:style w:type="character" w:styleId="21">
    <w:name w:val="annotation reference"/>
    <w:basedOn w:val="19"/>
    <w:semiHidden/>
    <w:unhideWhenUsed/>
    <w:qFormat/>
    <w:uiPriority w:val="99"/>
    <w:rPr>
      <w:sz w:val="21"/>
      <w:szCs w:val="21"/>
    </w:rPr>
  </w:style>
  <w:style w:type="character" w:customStyle="1" w:styleId="22">
    <w:name w:val="标题 1 Char"/>
    <w:basedOn w:val="19"/>
    <w:link w:val="2"/>
    <w:qFormat/>
    <w:uiPriority w:val="9"/>
    <w:rPr>
      <w:rFonts w:ascii="等线 Light" w:hAnsi="等线 Light" w:eastAsia="等线 Light" w:cs="宋体"/>
      <w:color w:val="2F5597"/>
      <w:sz w:val="48"/>
      <w:szCs w:val="48"/>
    </w:rPr>
  </w:style>
  <w:style w:type="character" w:customStyle="1" w:styleId="23">
    <w:name w:val="标题 2 Char"/>
    <w:basedOn w:val="19"/>
    <w:link w:val="3"/>
    <w:qFormat/>
    <w:uiPriority w:val="9"/>
    <w:rPr>
      <w:rFonts w:ascii="等线 Light" w:hAnsi="等线 Light" w:eastAsia="等线 Light" w:cs="宋体"/>
      <w:color w:val="2F5597"/>
      <w:sz w:val="40"/>
      <w:szCs w:val="40"/>
    </w:rPr>
  </w:style>
  <w:style w:type="character" w:customStyle="1" w:styleId="24">
    <w:name w:val="标题 3 Char"/>
    <w:basedOn w:val="19"/>
    <w:link w:val="4"/>
    <w:qFormat/>
    <w:uiPriority w:val="9"/>
    <w:rPr>
      <w:rFonts w:ascii="等线 Light" w:hAnsi="等线 Light" w:eastAsia="等线 Light" w:cs="宋体"/>
      <w:color w:val="2F5597"/>
      <w:sz w:val="32"/>
      <w:szCs w:val="32"/>
    </w:rPr>
  </w:style>
  <w:style w:type="character" w:customStyle="1" w:styleId="25">
    <w:name w:val="标题 4 Char"/>
    <w:basedOn w:val="19"/>
    <w:link w:val="5"/>
    <w:qFormat/>
    <w:uiPriority w:val="9"/>
    <w:rPr>
      <w:rFonts w:cs="宋体"/>
      <w:color w:val="2F5597"/>
      <w:sz w:val="28"/>
      <w:szCs w:val="28"/>
    </w:rPr>
  </w:style>
  <w:style w:type="character" w:customStyle="1" w:styleId="26">
    <w:name w:val="标题 5 Char"/>
    <w:basedOn w:val="19"/>
    <w:link w:val="6"/>
    <w:qFormat/>
    <w:uiPriority w:val="9"/>
    <w:rPr>
      <w:rFonts w:cs="宋体"/>
      <w:color w:val="2F5597"/>
      <w:sz w:val="24"/>
    </w:rPr>
  </w:style>
  <w:style w:type="character" w:customStyle="1" w:styleId="27">
    <w:name w:val="标题 6 Char"/>
    <w:basedOn w:val="19"/>
    <w:link w:val="7"/>
    <w:qFormat/>
    <w:uiPriority w:val="9"/>
    <w:rPr>
      <w:rFonts w:cs="宋体"/>
      <w:b/>
      <w:bCs/>
      <w:color w:val="2F5597"/>
    </w:rPr>
  </w:style>
  <w:style w:type="character" w:customStyle="1" w:styleId="28">
    <w:name w:val="标题 7 Char"/>
    <w:basedOn w:val="19"/>
    <w:link w:val="8"/>
    <w:qFormat/>
    <w:uiPriority w:val="9"/>
    <w:rPr>
      <w:rFonts w:cs="宋体"/>
      <w:b/>
      <w:bCs/>
      <w:color w:val="595959"/>
    </w:rPr>
  </w:style>
  <w:style w:type="character" w:customStyle="1" w:styleId="29">
    <w:name w:val="标题 8 Char"/>
    <w:basedOn w:val="19"/>
    <w:link w:val="9"/>
    <w:qFormat/>
    <w:uiPriority w:val="9"/>
    <w:rPr>
      <w:rFonts w:cs="宋体"/>
      <w:color w:val="595959"/>
    </w:rPr>
  </w:style>
  <w:style w:type="character" w:customStyle="1" w:styleId="30">
    <w:name w:val="标题 9 Char"/>
    <w:basedOn w:val="19"/>
    <w:link w:val="10"/>
    <w:qFormat/>
    <w:uiPriority w:val="9"/>
    <w:rPr>
      <w:rFonts w:eastAsia="等线 Light" w:cs="宋体"/>
      <w:color w:val="595959"/>
    </w:rPr>
  </w:style>
  <w:style w:type="character" w:customStyle="1" w:styleId="31">
    <w:name w:val="标题 Char"/>
    <w:basedOn w:val="19"/>
    <w:link w:val="17"/>
    <w:qFormat/>
    <w:uiPriority w:val="10"/>
    <w:rPr>
      <w:rFonts w:ascii="等线 Light" w:hAnsi="等线 Light" w:eastAsia="等线 Light" w:cs="宋体"/>
      <w:spacing w:val="-10"/>
      <w:kern w:val="28"/>
      <w:sz w:val="56"/>
      <w:szCs w:val="56"/>
    </w:rPr>
  </w:style>
  <w:style w:type="character" w:customStyle="1" w:styleId="32">
    <w:name w:val="副标题 Char"/>
    <w:basedOn w:val="19"/>
    <w:link w:val="15"/>
    <w:qFormat/>
    <w:uiPriority w:val="11"/>
    <w:rPr>
      <w:rFonts w:ascii="等线 Light" w:hAnsi="等线 Light" w:eastAsia="等线 Light" w:cs="宋体"/>
      <w:color w:val="595959"/>
      <w:spacing w:val="15"/>
      <w:sz w:val="28"/>
      <w:szCs w:val="28"/>
    </w:rPr>
  </w:style>
  <w:style w:type="paragraph" w:customStyle="1" w:styleId="33">
    <w:name w:val="引用1"/>
    <w:basedOn w:val="1"/>
    <w:next w:val="1"/>
    <w:link w:val="34"/>
    <w:qFormat/>
    <w:uiPriority w:val="29"/>
    <w:pPr>
      <w:spacing w:before="160" w:after="160" w:line="278" w:lineRule="auto"/>
      <w:jc w:val="center"/>
    </w:pPr>
    <w:rPr>
      <w:i/>
      <w:iCs/>
      <w:color w:val="3F3F3F"/>
      <w:sz w:val="22"/>
    </w:rPr>
  </w:style>
  <w:style w:type="character" w:customStyle="1" w:styleId="34">
    <w:name w:val="引用 Char"/>
    <w:basedOn w:val="19"/>
    <w:link w:val="33"/>
    <w:qFormat/>
    <w:uiPriority w:val="29"/>
    <w:rPr>
      <w:i/>
      <w:iCs/>
      <w:color w:val="3F3F3F"/>
    </w:rPr>
  </w:style>
  <w:style w:type="paragraph" w:customStyle="1" w:styleId="35">
    <w:name w:val="列出段落1"/>
    <w:basedOn w:val="1"/>
    <w:qFormat/>
    <w:uiPriority w:val="34"/>
    <w:pPr>
      <w:spacing w:after="160" w:line="278" w:lineRule="auto"/>
      <w:ind w:left="720"/>
      <w:contextualSpacing/>
      <w:jc w:val="left"/>
    </w:pPr>
    <w:rPr>
      <w:sz w:val="22"/>
    </w:rPr>
  </w:style>
  <w:style w:type="character" w:customStyle="1" w:styleId="36">
    <w:name w:val="明显强调1"/>
    <w:basedOn w:val="19"/>
    <w:qFormat/>
    <w:uiPriority w:val="21"/>
    <w:rPr>
      <w:i/>
      <w:iCs/>
      <w:color w:val="2F5597"/>
    </w:rPr>
  </w:style>
  <w:style w:type="paragraph" w:customStyle="1" w:styleId="37">
    <w:name w:val="明显引用1"/>
    <w:basedOn w:val="1"/>
    <w:next w:val="1"/>
    <w:link w:val="38"/>
    <w:qFormat/>
    <w:uiPriority w:val="30"/>
    <w:pPr>
      <w:pBdr>
        <w:top w:val="single" w:color="2F5496" w:sz="4" w:space="10"/>
        <w:bottom w:val="single" w:color="2F5496" w:sz="4" w:space="10"/>
      </w:pBdr>
      <w:spacing w:before="360" w:after="360" w:line="278" w:lineRule="auto"/>
      <w:ind w:left="864" w:right="864"/>
      <w:jc w:val="center"/>
    </w:pPr>
    <w:rPr>
      <w:i/>
      <w:iCs/>
      <w:color w:val="2F5597"/>
      <w:sz w:val="22"/>
    </w:rPr>
  </w:style>
  <w:style w:type="character" w:customStyle="1" w:styleId="38">
    <w:name w:val="明显引用 Char"/>
    <w:basedOn w:val="19"/>
    <w:link w:val="37"/>
    <w:qFormat/>
    <w:uiPriority w:val="30"/>
    <w:rPr>
      <w:i/>
      <w:iCs/>
      <w:color w:val="2F5597"/>
    </w:rPr>
  </w:style>
  <w:style w:type="character" w:customStyle="1" w:styleId="39">
    <w:name w:val="明显参考1"/>
    <w:basedOn w:val="19"/>
    <w:qFormat/>
    <w:uiPriority w:val="32"/>
    <w:rPr>
      <w:b/>
      <w:bCs/>
      <w:smallCaps/>
      <w:color w:val="2F5597"/>
      <w:spacing w:val="5"/>
    </w:rPr>
  </w:style>
  <w:style w:type="character" w:customStyle="1" w:styleId="40">
    <w:name w:val="页眉 Char"/>
    <w:basedOn w:val="19"/>
    <w:link w:val="14"/>
    <w:qFormat/>
    <w:uiPriority w:val="99"/>
    <w:rPr>
      <w:kern w:val="2"/>
      <w:sz w:val="18"/>
      <w:szCs w:val="18"/>
    </w:rPr>
  </w:style>
  <w:style w:type="character" w:customStyle="1" w:styleId="41">
    <w:name w:val="页脚 Char"/>
    <w:basedOn w:val="19"/>
    <w:link w:val="13"/>
    <w:qFormat/>
    <w:uiPriority w:val="99"/>
    <w:rPr>
      <w:kern w:val="2"/>
      <w:sz w:val="18"/>
      <w:szCs w:val="18"/>
    </w:rPr>
  </w:style>
  <w:style w:type="character" w:customStyle="1" w:styleId="42">
    <w:name w:val="批注框文本 Char"/>
    <w:basedOn w:val="19"/>
    <w:link w:val="12"/>
    <w:qFormat/>
    <w:uiPriority w:val="99"/>
    <w:rPr>
      <w:rFonts w:ascii="等线" w:hAnsi="等线" w:eastAsia="等线" w:cs="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684</Words>
  <Characters>729</Characters>
  <Lines>5</Lines>
  <Paragraphs>1</Paragraphs>
  <TotalTime>1</TotalTime>
  <ScaleCrop>false</ScaleCrop>
  <LinksUpToDate>false</LinksUpToDate>
  <CharactersWithSpaces>784</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2025-02-23T18:36:00Z</dcterms:created>
  <dc:creator>鱼跃 鸶鹜</dc:creator>
  <cp:lastModifiedBy>Administrator</cp:lastModifiedBy>
  <dcterms:modified xsi:type="dcterms:W3CDTF">2025-03-05T07:25:54Z</dcterms:modifi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eyJoZGlkIjoiNmM3ODA2NDUwYjk3ODIwNDZkOTQwMzU0ZDE3YzQwYWIiLCJ1c2VySWQiOiIxNTg4MDAwNyJ9</vt:lpwstr>
  </property>
  <property fmtid="{D5CDD505-2E9C-101B-9397-08002B2CF9AE}" pid="3" name="KSOProductBuildVer">
    <vt:lpwstr>2052-11.1.0.10463</vt:lpwstr>
  </property>
  <property fmtid="{D5CDD505-2E9C-101B-9397-08002B2CF9AE}" pid="4" name="ICV">
    <vt:lpwstr>E4096FFD2571413BA344004009C09321_13</vt:lpwstr>
  </property>
</Properties>
</file>