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黑体" w:hAnsi="黑体" w:eastAsia="黑体" w:cs="仿宋_GB2312"/>
          <w:sz w:val="28"/>
          <w:szCs w:val="28"/>
          <w:highlight w:val="none"/>
        </w:rPr>
      </w:pPr>
      <w:r>
        <w:rPr>
          <w:rFonts w:hint="eastAsia" w:ascii="黑体" w:hAnsi="黑体" w:eastAsia="黑体" w:cs="仿宋_GB2312"/>
          <w:sz w:val="28"/>
          <w:szCs w:val="28"/>
          <w:highlight w:val="none"/>
        </w:rPr>
        <w:t>附件</w:t>
      </w:r>
      <w:r>
        <w:rPr>
          <w:rFonts w:ascii="黑体" w:hAnsi="黑体" w:eastAsia="黑体" w:cs="仿宋_GB2312"/>
          <w:sz w:val="28"/>
          <w:szCs w:val="28"/>
          <w:highlight w:val="none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 w:themeColor="text1"/>
          <w:sz w:val="44"/>
          <w:szCs w:val="44"/>
          <w:highlight w:val="none"/>
          <w14:textFill>
            <w14:solidFill>
              <w14:schemeClr w14:val="tx1"/>
            </w14:solidFill>
          </w14:textFill>
        </w:rPr>
        <w:t>济宁医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学院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各学院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青年志愿者协会</w:t>
      </w:r>
    </w:p>
    <w:tbl>
      <w:tblPr>
        <w:tblStyle w:val="5"/>
        <w:tblpPr w:leftFromText="180" w:rightFromText="180" w:vertAnchor="text" w:horzAnchor="page" w:tblpXSpec="center" w:tblpY="724"/>
        <w:tblOverlap w:val="never"/>
        <w:tblW w:w="15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2629"/>
        <w:gridCol w:w="7039"/>
        <w:gridCol w:w="4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3816" w:type="dxa"/>
            <w:gridSpan w:val="2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4"/>
                <w:highlight w:val="none"/>
              </w:rPr>
              <w:t>评分项目</w:t>
            </w:r>
          </w:p>
        </w:tc>
        <w:tc>
          <w:tcPr>
            <w:tcW w:w="7039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4"/>
                <w:highlight w:val="none"/>
              </w:rPr>
              <w:t>细则</w:t>
            </w:r>
          </w:p>
        </w:tc>
        <w:tc>
          <w:tcPr>
            <w:tcW w:w="460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/>
                <w:bCs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b/>
                <w:bCs/>
                <w:kern w:val="0"/>
                <w:sz w:val="24"/>
                <w:highlight w:val="none"/>
                <w:lang w:val="en-US" w:eastAsia="zh-CN"/>
              </w:rPr>
              <w:t>材料提交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组织建设</w:t>
            </w:r>
          </w:p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40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2629" w:type="dxa"/>
            <w:vAlign w:val="center"/>
          </w:tcPr>
          <w:p>
            <w:pPr>
              <w:rPr>
                <w:rFonts w:ascii="仿宋_GB2312" w:hAnsi="Calibri" w:eastAsia="仿宋_GB2312" w:cs="Times New Roman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</w:rPr>
              <w:t>1.组织机构（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7039" w:type="dxa"/>
            <w:vAlign w:val="center"/>
          </w:tcPr>
          <w:p>
            <w:pPr>
              <w:rPr>
                <w:rFonts w:hint="default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有章程，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</w:rPr>
              <w:t>组织机构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健全、制度完备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</w:rPr>
              <w:t>。</w:t>
            </w:r>
          </w:p>
        </w:tc>
        <w:tc>
          <w:tcPr>
            <w:tcW w:w="4605" w:type="dxa"/>
            <w:vAlign w:val="center"/>
          </w:tcPr>
          <w:p>
            <w:pPr>
              <w:rPr>
                <w:rFonts w:hint="default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相关电子版材料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</w:pPr>
          </w:p>
        </w:tc>
        <w:tc>
          <w:tcPr>
            <w:tcW w:w="2629" w:type="dxa"/>
            <w:vAlign w:val="center"/>
          </w:tcPr>
          <w:p>
            <w:pPr>
              <w:rPr>
                <w:rFonts w:hint="default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</w:rPr>
              <w:t>.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成员占比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20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7039" w:type="dxa"/>
            <w:vAlign w:val="center"/>
          </w:tcPr>
          <w:p>
            <w:pPr>
              <w:rPr>
                <w:rFonts w:hint="default" w:ascii="仿宋_GB2312" w:hAnsi="Calibri" w:eastAsia="仿宋_GB2312" w:cs="Times New Roman"/>
                <w:kern w:val="0"/>
                <w:sz w:val="24"/>
                <w:highlight w:val="none"/>
                <w:lang w:val="en-US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根据各学院学生在“志愿汇”app的注册率赋分。（得分=注册率*20分，满分为20分）</w:t>
            </w:r>
          </w:p>
        </w:tc>
        <w:tc>
          <w:tcPr>
            <w:tcW w:w="4605" w:type="dxa"/>
            <w:vAlign w:val="center"/>
          </w:tcPr>
          <w:p>
            <w:pPr>
              <w:rPr>
                <w:rFonts w:hint="default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学院“志愿汇”app管理后台注册人数截图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</w:pPr>
          </w:p>
        </w:tc>
        <w:tc>
          <w:tcPr>
            <w:tcW w:w="2629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3.工作纪律（5分）</w:t>
            </w:r>
          </w:p>
        </w:tc>
        <w:tc>
          <w:tcPr>
            <w:tcW w:w="7039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仿宋" w:eastAsia="仿宋_GB2312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根据协会联席会议到会情况赋分，有正当理由请假或迟到每次扣1分，无故缺席每次扣2分。</w:t>
            </w:r>
          </w:p>
        </w:tc>
        <w:tc>
          <w:tcPr>
            <w:tcW w:w="4605" w:type="dxa"/>
            <w:vAlign w:val="center"/>
          </w:tcPr>
          <w:p>
            <w:pPr>
              <w:spacing w:line="280" w:lineRule="exact"/>
              <w:jc w:val="left"/>
              <w:rPr>
                <w:rFonts w:hint="default" w:ascii="仿宋_GB2312" w:hAnsi="仿宋" w:eastAsia="仿宋_GB2312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无需提交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</w:pPr>
          </w:p>
        </w:tc>
        <w:tc>
          <w:tcPr>
            <w:tcW w:w="2629" w:type="dxa"/>
            <w:vAlign w:val="center"/>
          </w:tcPr>
          <w:p>
            <w:pPr>
              <w:rPr>
                <w:rFonts w:hint="default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4.工作培训（10分）</w:t>
            </w:r>
          </w:p>
        </w:tc>
        <w:tc>
          <w:tcPr>
            <w:tcW w:w="7039" w:type="dxa"/>
            <w:vAlign w:val="center"/>
          </w:tcPr>
          <w:p>
            <w:pPr>
              <w:rPr>
                <w:rFonts w:hint="default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开展志愿者知识、技能培训，一次培训得5分，二次得10分。</w:t>
            </w:r>
          </w:p>
        </w:tc>
        <w:tc>
          <w:tcPr>
            <w:tcW w:w="4605" w:type="dxa"/>
            <w:vAlign w:val="center"/>
          </w:tcPr>
          <w:p>
            <w:pP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通讯或照片</w:t>
            </w:r>
          </w:p>
          <w:p>
            <w:pPr>
              <w:rPr>
                <w:rFonts w:hint="default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（通讯：在学院及以上媒体发布的通讯链接和截图；照片：需体现时间、内容）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活动组织与开展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不含疫情防控志愿服务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 xml:space="preserve"> （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50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分）</w:t>
            </w:r>
          </w:p>
          <w:p>
            <w:pPr>
              <w:jc w:val="center"/>
              <w:rPr>
                <w:rFonts w:hint="default"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.活动主题（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7039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具备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鲜明的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活动主题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不符合要求的活动主题每项扣2分。</w:t>
            </w:r>
          </w:p>
        </w:tc>
        <w:tc>
          <w:tcPr>
            <w:tcW w:w="4605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无需提交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</w:pPr>
          </w:p>
        </w:tc>
        <w:tc>
          <w:tcPr>
            <w:tcW w:w="2629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highlight w:val="yellow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  <w:lang w:val="en-US" w:eastAsia="zh-CN"/>
              </w:rPr>
              <w:t>6</w:t>
            </w:r>
            <w:r>
              <w:rPr>
                <w:rFonts w:hint="eastAsia" w:ascii="仿宋_GB2312" w:hAnsi="Calibri" w:eastAsia="仿宋_GB2312" w:cs="Times New Roman"/>
                <w:kern w:val="0"/>
                <w:sz w:val="24"/>
                <w:highlight w:val="none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30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7039" w:type="dxa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围绕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绿色校园、师生服务、社区实践、关爱儿童、助老服务等类型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开展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线下或线上等形式的志愿服务活动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。每组织一种类型得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一种类型开展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次以上活动得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分。</w:t>
            </w:r>
          </w:p>
        </w:tc>
        <w:tc>
          <w:tcPr>
            <w:tcW w:w="4605" w:type="dxa"/>
            <w:vAlign w:val="center"/>
          </w:tcPr>
          <w:p>
            <w:pPr>
              <w:jc w:val="left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支撑材料：本学期志愿服务活动的开展情况汇总、照片或通讯链接及截图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  <w:vAlign w:val="center"/>
          </w:tcPr>
          <w:p>
            <w:pPr>
              <w:spacing w:line="280" w:lineRule="exact"/>
              <w:jc w:val="left"/>
              <w:rPr>
                <w:rFonts w:hint="default" w:ascii="仿宋_GB2312" w:hAnsi="Calibri" w:eastAsia="仿宋_GB2312" w:cs="Times New Roman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7.服务时长（10分）</w:t>
            </w:r>
          </w:p>
        </w:tc>
        <w:tc>
          <w:tcPr>
            <w:tcW w:w="7039" w:type="dxa"/>
            <w:vAlign w:val="center"/>
          </w:tcPr>
          <w:p>
            <w:pPr>
              <w:spacing w:line="280" w:lineRule="exact"/>
              <w:jc w:val="left"/>
              <w:rPr>
                <w:rFonts w:hint="default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学院注册志愿者的人均服务时长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进行排名进行赋分，第一名为满分。</w:t>
            </w:r>
          </w:p>
        </w:tc>
        <w:tc>
          <w:tcPr>
            <w:tcW w:w="4605" w:type="dxa"/>
            <w:vAlign w:val="center"/>
          </w:tcPr>
          <w:p>
            <w:pPr>
              <w:spacing w:line="280" w:lineRule="exact"/>
              <w:jc w:val="left"/>
              <w:rPr>
                <w:rFonts w:hint="default" w:ascii="仿宋_GB2312" w:hAnsi="仿宋" w:eastAsia="仿宋_GB2312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各学院“志愿汇”app管理后台服务时长总数截图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活动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总结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 xml:space="preserve"> （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2629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材料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7039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活动结束后，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72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小时内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提交总结</w:t>
            </w:r>
            <w:r>
              <w:rPr>
                <w:rFonts w:hint="eastAsia" w:ascii="仿宋_GB2312" w:hAnsi="Calibri" w:eastAsia="仿宋_GB2312" w:cs="Times New Roman"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材料至校青协秘书处。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逾期未提交的，一次扣1分。</w:t>
            </w:r>
          </w:p>
        </w:tc>
        <w:tc>
          <w:tcPr>
            <w:tcW w:w="4605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仿宋" w:eastAsia="仿宋_GB2312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无需提交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7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 w:themeColor="text1"/>
                <w:kern w:val="0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29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9.活动宣传（5分）</w:t>
            </w:r>
          </w:p>
        </w:tc>
        <w:tc>
          <w:tcPr>
            <w:tcW w:w="7039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活动结束后对活动进行宣传报道，学院级媒体报道一篇得1分；校级及以上媒体报道一篇得1分，可累计，同一活动不重复加分，满分5分。</w:t>
            </w:r>
          </w:p>
        </w:tc>
        <w:tc>
          <w:tcPr>
            <w:tcW w:w="4605" w:type="dxa"/>
            <w:vAlign w:val="center"/>
          </w:tcPr>
          <w:p>
            <w:pPr>
              <w:spacing w:line="280" w:lineRule="exact"/>
              <w:jc w:val="left"/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通讯链接或截图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highlight w:val="none"/>
        </w:rPr>
        <w:t>下半年考核评分细则</w:t>
      </w:r>
    </w:p>
    <w:p>
      <w:pPr>
        <w:spacing w:line="14" w:lineRule="exact"/>
        <w:jc w:val="left"/>
        <w:rPr>
          <w:rFonts w:ascii="仿宋_GB2312" w:eastAsia="仿宋_GB2312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0000000"/>
    <w:rsid w:val="721552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656</Words>
  <Characters>687</Characters>
  <Lines>4</Lines>
  <Paragraphs>1</Paragraphs>
  <TotalTime>0</TotalTime>
  <ScaleCrop>false</ScaleCrop>
  <LinksUpToDate>false</LinksUpToDate>
  <CharactersWithSpaces>689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2020-12-06T15:46:00Z</dcterms:created>
  <dc:creator>圣叶 陶</dc:creator>
  <cp:lastModifiedBy>/ty/ty</cp:lastModifiedBy>
  <dcterms:modified xsi:type="dcterms:W3CDTF">2022-12-05T09:47:06Z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39610AF511BE43A78D32D9717EF3D360</vt:lpwstr>
  </property>
</Properties>
</file>