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85A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spacing w:val="-11"/>
          <w:sz w:val="44"/>
          <w:szCs w:val="44"/>
          <w:shd w:val="clear" w:color="auto" w:fill="FFFFFF"/>
        </w:rPr>
        <w:t>关于</w:t>
      </w:r>
      <w:r>
        <w:rPr>
          <w:rFonts w:hint="eastAsia" w:ascii="方正小标宋简体" w:hAnsi="方正小标宋简体" w:eastAsia="方正小标宋简体" w:cs="方正小标宋简体"/>
          <w:spacing w:val="-11"/>
          <w:sz w:val="44"/>
          <w:szCs w:val="44"/>
          <w:shd w:val="clear" w:color="auto" w:fill="FFFFFF"/>
          <w:lang w:val="en-US" w:eastAsia="zh-CN"/>
        </w:rPr>
        <w:t>开展</w:t>
      </w:r>
      <w:r>
        <w:rPr>
          <w:rFonts w:hint="eastAsia" w:ascii="方正小标宋简体" w:hAnsi="方正小标宋简体" w:eastAsia="方正小标宋简体" w:cs="方正小标宋简体"/>
          <w:color w:val="000000"/>
          <w:kern w:val="0"/>
          <w:sz w:val="44"/>
          <w:szCs w:val="44"/>
          <w:lang w:val="en-US" w:eastAsia="zh-CN" w:bidi="ar"/>
        </w:rPr>
        <w:t>2025年度院系级团组织书记</w:t>
      </w:r>
    </w:p>
    <w:p w14:paraId="7317661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述职评议工作的通知</w:t>
      </w:r>
    </w:p>
    <w:p w14:paraId="74DE4318">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rPr>
      </w:pPr>
    </w:p>
    <w:p w14:paraId="1421295A">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方正小标宋简体" w:hAnsi="方正小标宋简体" w:eastAsia="方正小标宋简体" w:cs="方正小标宋简体"/>
          <w:color w:val="000000"/>
          <w:kern w:val="0"/>
          <w:sz w:val="44"/>
          <w:szCs w:val="44"/>
          <w:lang w:val="en-US" w:eastAsia="zh-CN" w:bidi="ar"/>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w:t>
      </w:r>
    </w:p>
    <w:p w14:paraId="117E470E">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color w:val="000000"/>
          <w:kern w:val="0"/>
          <w:sz w:val="32"/>
          <w:szCs w:val="32"/>
          <w:lang w:eastAsia="zh-CN" w:bidi="ar"/>
        </w:rPr>
        <w:t>为</w:t>
      </w:r>
      <w:r>
        <w:rPr>
          <w:rFonts w:hint="eastAsia" w:ascii="仿宋_GB2312" w:hAnsi="宋体" w:eastAsia="仿宋_GB2312" w:cs="仿宋_GB2312"/>
          <w:color w:val="000000"/>
          <w:kern w:val="0"/>
          <w:sz w:val="32"/>
          <w:szCs w:val="32"/>
          <w:lang w:bidi="ar"/>
        </w:rPr>
        <w:t>深入贯彻落实</w:t>
      </w:r>
      <w:r>
        <w:rPr>
          <w:rFonts w:hint="eastAsia" w:ascii="仿宋_GB2312" w:hAnsi="宋体" w:eastAsia="仿宋_GB2312" w:cs="仿宋_GB2312"/>
          <w:color w:val="000000"/>
          <w:kern w:val="0"/>
          <w:sz w:val="32"/>
          <w:szCs w:val="32"/>
          <w:lang w:val="en-US" w:eastAsia="zh-CN" w:bidi="ar"/>
        </w:rPr>
        <w:t>团中央组织部《基层团组织书记述职评议考核暂行办法》（团组字〔2021〕1号文）规定和团省委工作部署要求，客观、公正、科学评价各院系级团组织年度工作实效，强化责任担当，提升我校共青团工作整体水平，现将2025年度述职评议工作安排如下。</w:t>
      </w:r>
    </w:p>
    <w:p w14:paraId="237948E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一、评议对象</w:t>
      </w:r>
    </w:p>
    <w:p w14:paraId="272B3A6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宋体" w:eastAsia="仿宋_GB2312" w:cs="仿宋_GB2312"/>
          <w:color w:val="auto"/>
          <w:kern w:val="0"/>
          <w:sz w:val="32"/>
          <w:szCs w:val="32"/>
          <w:highlight w:val="none"/>
          <w:lang w:val="en-US" w:eastAsia="zh-CN" w:bidi="ar"/>
        </w:rPr>
        <w:t>各</w:t>
      </w:r>
      <w:r>
        <w:rPr>
          <w:rFonts w:hint="eastAsia" w:ascii="仿宋_GB2312" w:hAnsi="宋体" w:eastAsia="仿宋_GB2312" w:cs="仿宋_GB2312"/>
          <w:color w:val="000000" w:themeColor="text1"/>
          <w:kern w:val="0"/>
          <w:sz w:val="32"/>
          <w:szCs w:val="32"/>
          <w:highlight w:val="none"/>
          <w:lang w:val="en-US" w:eastAsia="zh-CN" w:bidi="ar"/>
          <w14:textFill>
            <w14:solidFill>
              <w14:schemeClr w14:val="tx1"/>
            </w14:solidFill>
          </w14:textFill>
        </w:rPr>
        <w:t>学院团总支书记</w:t>
      </w:r>
    </w:p>
    <w:p w14:paraId="1EA8383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二、评议时间</w:t>
      </w:r>
    </w:p>
    <w:p w14:paraId="256CB3A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仿宋_GB2312"/>
          <w:color w:val="000000"/>
          <w:kern w:val="0"/>
          <w:sz w:val="32"/>
          <w:szCs w:val="32"/>
          <w:highlight w:val="none"/>
          <w:lang w:val="en-US" w:eastAsia="zh-CN" w:bidi="ar"/>
        </w:rPr>
      </w:pPr>
      <w:r>
        <w:rPr>
          <w:rFonts w:hint="eastAsia" w:ascii="仿宋_GB2312" w:hAnsi="宋体" w:eastAsia="仿宋_GB2312" w:cs="仿宋_GB2312"/>
          <w:color w:val="000000"/>
          <w:kern w:val="0"/>
          <w:sz w:val="32"/>
          <w:szCs w:val="32"/>
          <w:highlight w:val="none"/>
          <w:lang w:val="en-US" w:eastAsia="zh-CN" w:bidi="ar"/>
        </w:rPr>
        <w:t>2025年12月17日至2026年1月19日</w:t>
      </w:r>
    </w:p>
    <w:p w14:paraId="28835DF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三、评分内容与方式</w:t>
      </w:r>
    </w:p>
    <w:p w14:paraId="3CC31C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auto"/>
          <w:kern w:val="0"/>
          <w:sz w:val="32"/>
          <w:szCs w:val="32"/>
          <w:highlight w:val="none"/>
          <w:lang w:bidi="ar"/>
        </w:rPr>
      </w:pPr>
      <w:r>
        <w:rPr>
          <w:rFonts w:hint="eastAsia" w:ascii="仿宋_GB2312" w:hAnsi="宋体" w:eastAsia="仿宋_GB2312" w:cs="仿宋_GB2312"/>
          <w:color w:val="auto"/>
          <w:kern w:val="0"/>
          <w:sz w:val="32"/>
          <w:szCs w:val="32"/>
          <w:highlight w:val="none"/>
          <w:lang w:val="en-US" w:eastAsia="zh-CN" w:bidi="ar"/>
        </w:rPr>
        <w:t>述职评议</w:t>
      </w:r>
      <w:r>
        <w:rPr>
          <w:rFonts w:hint="eastAsia" w:ascii="仿宋_GB2312" w:hAnsi="宋体" w:eastAsia="仿宋_GB2312" w:cs="仿宋_GB2312"/>
          <w:color w:val="auto"/>
          <w:kern w:val="0"/>
          <w:sz w:val="32"/>
          <w:szCs w:val="32"/>
          <w:highlight w:val="none"/>
          <w:lang w:bidi="ar"/>
        </w:rPr>
        <w:t>聚焦团组织书记年度履职情况，重点考核</w:t>
      </w:r>
      <w:r>
        <w:rPr>
          <w:rFonts w:hint="eastAsia" w:ascii="仿宋_GB2312" w:hAnsi="宋体" w:eastAsia="仿宋_GB2312" w:cs="仿宋_GB2312"/>
          <w:color w:val="auto"/>
          <w:kern w:val="0"/>
          <w:sz w:val="32"/>
          <w:szCs w:val="32"/>
          <w:highlight w:val="none"/>
          <w:lang w:val="en-US" w:eastAsia="zh-CN" w:bidi="ar"/>
        </w:rPr>
        <w:t>其</w:t>
      </w:r>
      <w:r>
        <w:rPr>
          <w:rFonts w:hint="eastAsia" w:ascii="仿宋_GB2312" w:hAnsi="宋体" w:eastAsia="仿宋_GB2312" w:cs="仿宋_GB2312"/>
          <w:color w:val="auto"/>
          <w:kern w:val="0"/>
          <w:sz w:val="32"/>
          <w:szCs w:val="32"/>
          <w:highlight w:val="none"/>
          <w:lang w:bidi="ar"/>
        </w:rPr>
        <w:t>在思想政治引领、基层组织建设、联系服务青年、服务党政中心工作等方面的实绩。</w:t>
      </w:r>
    </w:p>
    <w:p w14:paraId="6157B9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auto"/>
          <w:kern w:val="0"/>
          <w:sz w:val="32"/>
          <w:szCs w:val="32"/>
          <w:highlight w:val="none"/>
          <w:lang w:eastAsia="zh-CN" w:bidi="ar"/>
        </w:rPr>
      </w:pPr>
      <w:r>
        <w:rPr>
          <w:rFonts w:hint="eastAsia" w:ascii="仿宋_GB2312" w:hAnsi="宋体" w:eastAsia="仿宋_GB2312" w:cs="仿宋_GB2312"/>
          <w:color w:val="auto"/>
          <w:kern w:val="0"/>
          <w:sz w:val="32"/>
          <w:szCs w:val="32"/>
          <w:highlight w:val="none"/>
          <w:lang w:bidi="ar"/>
        </w:rPr>
        <w:t>最终评议总得分按以下权重合成计算：重点工作考核得分占</w:t>
      </w:r>
      <w:r>
        <w:rPr>
          <w:rFonts w:hint="eastAsia" w:ascii="仿宋_GB2312" w:hAnsi="宋体" w:eastAsia="仿宋_GB2312" w:cs="仿宋_GB2312"/>
          <w:color w:val="auto"/>
          <w:kern w:val="0"/>
          <w:sz w:val="32"/>
          <w:szCs w:val="32"/>
          <w:highlight w:val="none"/>
          <w:lang w:val="en-US" w:eastAsia="zh-CN" w:bidi="ar"/>
        </w:rPr>
        <w:t>40</w:t>
      </w:r>
      <w:r>
        <w:rPr>
          <w:rFonts w:hint="eastAsia" w:ascii="仿宋_GB2312" w:hAnsi="宋体" w:eastAsia="仿宋_GB2312" w:cs="仿宋_GB2312"/>
          <w:color w:val="auto"/>
          <w:kern w:val="0"/>
          <w:sz w:val="32"/>
          <w:szCs w:val="32"/>
          <w:highlight w:val="none"/>
          <w:lang w:bidi="ar"/>
        </w:rPr>
        <w:t>%，团员青年评议得分占3</w:t>
      </w:r>
      <w:r>
        <w:rPr>
          <w:rFonts w:hint="eastAsia" w:ascii="仿宋_GB2312" w:hAnsi="宋体" w:eastAsia="仿宋_GB2312" w:cs="仿宋_GB2312"/>
          <w:color w:val="auto"/>
          <w:kern w:val="0"/>
          <w:sz w:val="32"/>
          <w:szCs w:val="32"/>
          <w:highlight w:val="none"/>
          <w:lang w:val="en-US" w:eastAsia="zh-CN" w:bidi="ar"/>
        </w:rPr>
        <w:t>0</w:t>
      </w:r>
      <w:r>
        <w:rPr>
          <w:rFonts w:hint="eastAsia" w:ascii="仿宋_GB2312" w:hAnsi="宋体" w:eastAsia="仿宋_GB2312" w:cs="仿宋_GB2312"/>
          <w:color w:val="auto"/>
          <w:kern w:val="0"/>
          <w:sz w:val="32"/>
          <w:szCs w:val="32"/>
          <w:highlight w:val="none"/>
          <w:lang w:bidi="ar"/>
        </w:rPr>
        <w:t>%，现场述职评议得分占30%</w:t>
      </w:r>
      <w:r>
        <w:rPr>
          <w:rFonts w:hint="eastAsia" w:ascii="仿宋_GB2312" w:hAnsi="宋体" w:eastAsia="仿宋_GB2312" w:cs="仿宋_GB2312"/>
          <w:color w:val="auto"/>
          <w:kern w:val="0"/>
          <w:sz w:val="32"/>
          <w:szCs w:val="32"/>
          <w:highlight w:val="none"/>
          <w:lang w:eastAsia="zh-CN" w:bidi="ar"/>
        </w:rPr>
        <w:t>。</w:t>
      </w:r>
    </w:p>
    <w:p w14:paraId="6A316E3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四、工作安排</w:t>
      </w:r>
    </w:p>
    <w:p w14:paraId="54CE681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确定参评人员</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2025年12月1</w:t>
      </w:r>
      <w:r>
        <w:rPr>
          <w:rFonts w:hint="eastAsia" w:ascii="楷体_GB2312" w:hAnsi="楷体_GB2312" w:eastAsia="楷体_GB2312" w:cs="楷体_GB2312"/>
          <w:sz w:val="32"/>
          <w:szCs w:val="32"/>
          <w:lang w:val="en-US" w:eastAsia="zh-CN"/>
        </w:rPr>
        <w:t>8</w:t>
      </w:r>
      <w:r>
        <w:rPr>
          <w:rFonts w:hint="eastAsia" w:ascii="楷体_GB2312" w:hAnsi="楷体_GB2312" w:eastAsia="楷体_GB2312" w:cs="楷体_GB2312"/>
          <w:sz w:val="32"/>
          <w:szCs w:val="32"/>
        </w:rPr>
        <w:t>日）</w:t>
      </w:r>
    </w:p>
    <w:p w14:paraId="470D24D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仿宋_GB2312"/>
          <w:color w:val="0000FF"/>
          <w:kern w:val="0"/>
          <w:sz w:val="32"/>
          <w:szCs w:val="32"/>
          <w:highlight w:val="none"/>
          <w:lang w:val="en-US" w:eastAsia="zh-CN" w:bidi="ar"/>
        </w:rPr>
      </w:pPr>
      <w:r>
        <w:rPr>
          <w:rFonts w:hint="eastAsia" w:ascii="仿宋_GB2312" w:hAnsi="宋体" w:eastAsia="仿宋_GB2312" w:cs="仿宋_GB2312"/>
          <w:color w:val="auto"/>
          <w:kern w:val="0"/>
          <w:sz w:val="32"/>
          <w:szCs w:val="32"/>
          <w:lang w:val="en-US" w:eastAsia="zh-CN" w:bidi="ar"/>
        </w:rPr>
        <w:t>请</w:t>
      </w:r>
      <w:r>
        <w:rPr>
          <w:rFonts w:hint="eastAsia" w:ascii="仿宋_GB2312" w:hAnsi="宋体" w:eastAsia="仿宋_GB2312" w:cs="仿宋_GB2312"/>
          <w:color w:val="auto"/>
          <w:kern w:val="0"/>
          <w:sz w:val="32"/>
          <w:szCs w:val="32"/>
          <w:lang w:bidi="ar"/>
        </w:rPr>
        <w:t>各学院党总支（分党委）</w:t>
      </w:r>
      <w:r>
        <w:rPr>
          <w:rFonts w:hint="eastAsia" w:ascii="仿宋_GB2312" w:hAnsi="宋体" w:eastAsia="仿宋_GB2312" w:cs="仿宋_GB2312"/>
          <w:color w:val="auto"/>
          <w:kern w:val="0"/>
          <w:sz w:val="32"/>
          <w:szCs w:val="32"/>
          <w:lang w:val="en-US" w:eastAsia="zh-CN" w:bidi="ar"/>
        </w:rPr>
        <w:t>审核</w:t>
      </w:r>
      <w:r>
        <w:rPr>
          <w:rFonts w:hint="eastAsia" w:ascii="仿宋_GB2312" w:hAnsi="宋体" w:eastAsia="仿宋_GB2312" w:cs="仿宋_GB2312"/>
          <w:color w:val="auto"/>
          <w:kern w:val="0"/>
          <w:sz w:val="32"/>
          <w:szCs w:val="32"/>
          <w:lang w:bidi="ar"/>
        </w:rPr>
        <w:t>确认</w:t>
      </w:r>
      <w:r>
        <w:rPr>
          <w:rFonts w:hint="eastAsia" w:ascii="仿宋_GB2312" w:hAnsi="宋体" w:eastAsia="仿宋_GB2312" w:cs="仿宋_GB2312"/>
          <w:color w:val="auto"/>
          <w:kern w:val="0"/>
          <w:sz w:val="32"/>
          <w:szCs w:val="32"/>
          <w:lang w:val="en-US" w:eastAsia="zh-CN" w:bidi="ar"/>
        </w:rPr>
        <w:t>本单位</w:t>
      </w:r>
      <w:r>
        <w:rPr>
          <w:rFonts w:hint="eastAsia" w:ascii="仿宋_GB2312" w:hAnsi="宋体" w:eastAsia="仿宋_GB2312" w:cs="仿宋_GB2312"/>
          <w:color w:val="auto"/>
          <w:kern w:val="0"/>
          <w:sz w:val="32"/>
          <w:szCs w:val="32"/>
          <w:lang w:bidi="ar"/>
        </w:rPr>
        <w:t>参评人员</w:t>
      </w:r>
      <w:r>
        <w:rPr>
          <w:rFonts w:hint="eastAsia" w:ascii="仿宋_GB2312" w:hAnsi="宋体" w:eastAsia="仿宋_GB2312" w:cs="仿宋_GB2312"/>
          <w:color w:val="auto"/>
          <w:kern w:val="0"/>
          <w:sz w:val="32"/>
          <w:szCs w:val="32"/>
          <w:lang w:eastAsia="zh-CN" w:bidi="ar"/>
        </w:rPr>
        <w:t>，</w:t>
      </w:r>
      <w:r>
        <w:rPr>
          <w:rFonts w:hint="eastAsia" w:ascii="仿宋_GB2312" w:hAnsi="宋体" w:eastAsia="仿宋_GB2312" w:cs="仿宋_GB2312"/>
          <w:color w:val="auto"/>
          <w:kern w:val="0"/>
          <w:sz w:val="32"/>
          <w:szCs w:val="32"/>
          <w:lang w:val="en-US" w:eastAsia="zh-CN" w:bidi="ar"/>
        </w:rPr>
        <w:t>并</w:t>
      </w:r>
      <w:r>
        <w:rPr>
          <w:rFonts w:hint="eastAsia" w:ascii="仿宋_GB2312" w:hAnsi="宋体" w:eastAsia="仿宋_GB2312" w:cs="仿宋_GB2312"/>
          <w:color w:val="auto"/>
          <w:kern w:val="0"/>
          <w:sz w:val="32"/>
          <w:szCs w:val="32"/>
          <w:lang w:bidi="ar"/>
        </w:rPr>
        <w:t>，</w:t>
      </w:r>
      <w:r>
        <w:rPr>
          <w:rFonts w:hint="eastAsia" w:ascii="仿宋_GB2312" w:hAnsi="宋体" w:eastAsia="仿宋_GB2312" w:cs="仿宋_GB2312"/>
          <w:color w:val="auto"/>
          <w:kern w:val="0"/>
          <w:sz w:val="32"/>
          <w:szCs w:val="32"/>
          <w:lang w:val="en-US" w:eastAsia="zh-CN" w:bidi="ar"/>
        </w:rPr>
        <w:t>于12月18日16:00前将</w:t>
      </w:r>
      <w:r>
        <w:rPr>
          <w:rFonts w:hint="eastAsia" w:ascii="仿宋_GB2312" w:hAnsi="宋体" w:eastAsia="仿宋_GB2312" w:cs="仿宋_GB2312"/>
          <w:color w:val="auto"/>
          <w:kern w:val="0"/>
          <w:sz w:val="32"/>
          <w:szCs w:val="32"/>
          <w:lang w:bidi="ar"/>
        </w:rPr>
        <w:t>名单（附件2）报送</w:t>
      </w:r>
      <w:r>
        <w:rPr>
          <w:rFonts w:hint="eastAsia" w:ascii="仿宋_GB2312" w:hAnsi="宋体" w:eastAsia="仿宋_GB2312" w:cs="仿宋_GB2312"/>
          <w:color w:val="auto"/>
          <w:kern w:val="0"/>
          <w:sz w:val="32"/>
          <w:szCs w:val="32"/>
          <w:lang w:val="en-US" w:eastAsia="zh-CN" w:bidi="ar"/>
        </w:rPr>
        <w:t>至指定邮箱</w:t>
      </w:r>
      <w:r>
        <w:rPr>
          <w:rFonts w:hint="eastAsia" w:ascii="仿宋_GB2312" w:hAnsi="宋体" w:eastAsia="仿宋_GB2312" w:cs="仿宋_GB2312"/>
          <w:color w:val="auto"/>
          <w:kern w:val="0"/>
          <w:sz w:val="32"/>
          <w:szCs w:val="32"/>
          <w:lang w:bidi="ar"/>
        </w:rPr>
        <w:t>。</w:t>
      </w:r>
    </w:p>
    <w:p w14:paraId="3C654D8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lang w:val="en-US" w:eastAsia="zh-CN"/>
        </w:rPr>
        <w:t>（二）重点工作考</w:t>
      </w:r>
      <w:r>
        <w:rPr>
          <w:rFonts w:hint="eastAsia" w:ascii="楷体_GB2312" w:hAnsi="楷体_GB2312" w:eastAsia="楷体_GB2312" w:cs="楷体_GB2312"/>
          <w:sz w:val="32"/>
          <w:szCs w:val="32"/>
          <w:highlight w:val="none"/>
          <w:lang w:val="en-US" w:eastAsia="zh-CN"/>
        </w:rPr>
        <w:t>核（2</w:t>
      </w:r>
      <w:r>
        <w:rPr>
          <w:rFonts w:hint="eastAsia" w:ascii="仿宋_GB2312" w:hAnsi="仿宋_GB2312" w:eastAsia="仿宋_GB2312" w:cs="仿宋_GB2312"/>
          <w:color w:val="auto"/>
          <w:sz w:val="32"/>
          <w:szCs w:val="32"/>
          <w:highlight w:val="none"/>
          <w:lang w:val="en-US" w:eastAsia="zh-CN"/>
        </w:rPr>
        <w:t>025年12月1</w:t>
      </w:r>
      <w:r>
        <w:rPr>
          <w:rFonts w:hint="eastAsia" w:ascii="楷体_GB2312" w:hAnsi="楷体_GB2312" w:eastAsia="楷体_GB2312" w:cs="楷体_GB2312"/>
          <w:sz w:val="32"/>
          <w:szCs w:val="32"/>
          <w:highlight w:val="none"/>
          <w:lang w:val="en-US" w:eastAsia="zh-CN"/>
        </w:rPr>
        <w:t>9日至2026年1月8日）</w:t>
      </w:r>
    </w:p>
    <w:p w14:paraId="77A27435">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highlight w:val="yellow"/>
          <w:lang w:val="en-US" w:eastAsia="zh-CN"/>
        </w:rPr>
      </w:pPr>
      <w:r>
        <w:rPr>
          <w:rFonts w:hint="eastAsia" w:ascii="仿宋_GB2312" w:hAnsi="宋体" w:eastAsia="仿宋_GB2312" w:cs="仿宋_GB2312"/>
          <w:b/>
          <w:bCs/>
          <w:color w:val="auto"/>
          <w:kern w:val="0"/>
          <w:sz w:val="32"/>
          <w:szCs w:val="32"/>
          <w:highlight w:val="none"/>
          <w:lang w:val="en-US" w:eastAsia="zh-CN" w:bidi="ar"/>
        </w:rPr>
        <w:t>1.材料提交：</w:t>
      </w:r>
      <w:r>
        <w:rPr>
          <w:rFonts w:hint="eastAsia" w:ascii="楷体_GB2312" w:hAnsi="楷体_GB2312" w:eastAsia="楷体_GB2312" w:cs="楷体_GB2312"/>
          <w:sz w:val="32"/>
          <w:szCs w:val="32"/>
          <w:lang w:val="en-US" w:eastAsia="zh-CN"/>
        </w:rPr>
        <w:t>各</w:t>
      </w:r>
      <w:r>
        <w:rPr>
          <w:rFonts w:hint="eastAsia" w:ascii="仿宋_GB2312" w:hAnsi="宋体" w:eastAsia="仿宋_GB2312" w:cs="仿宋_GB2312"/>
          <w:i w:val="0"/>
          <w:iCs w:val="0"/>
          <w:caps w:val="0"/>
          <w:color w:val="auto"/>
          <w:spacing w:val="0"/>
          <w:kern w:val="0"/>
          <w:sz w:val="32"/>
          <w:szCs w:val="32"/>
          <w:lang w:val="en-US" w:eastAsia="zh-CN" w:bidi="ar"/>
        </w:rPr>
        <w:t>团总支书记须</w:t>
      </w:r>
      <w:r>
        <w:rPr>
          <w:rFonts w:hint="eastAsia" w:ascii="仿宋_GB2312" w:hAnsi="宋体" w:eastAsia="仿宋_GB2312" w:cs="仿宋_GB2312"/>
          <w:i w:val="0"/>
          <w:iCs w:val="0"/>
          <w:caps w:val="0"/>
          <w:color w:val="auto"/>
          <w:spacing w:val="0"/>
          <w:kern w:val="0"/>
          <w:sz w:val="32"/>
          <w:szCs w:val="32"/>
          <w:lang w:eastAsia="zh-CN" w:bidi="ar"/>
        </w:rPr>
        <w:t>围</w:t>
      </w:r>
      <w:r>
        <w:rPr>
          <w:rFonts w:hint="eastAsia" w:ascii="仿宋_GB2312" w:hAnsi="宋体" w:eastAsia="仿宋_GB2312" w:cs="仿宋_GB2312"/>
          <w:i w:val="0"/>
          <w:iCs w:val="0"/>
          <w:caps w:val="0"/>
          <w:color w:val="auto"/>
          <w:spacing w:val="0"/>
          <w:kern w:val="0"/>
          <w:sz w:val="32"/>
          <w:szCs w:val="32"/>
          <w:lang w:bidi="ar"/>
        </w:rPr>
        <w:t>绕</w:t>
      </w:r>
      <w:r>
        <w:rPr>
          <w:rFonts w:hint="eastAsia" w:ascii="仿宋_GB2312" w:hAnsi="宋体" w:eastAsia="仿宋_GB2312" w:cs="仿宋_GB2312"/>
          <w:i w:val="0"/>
          <w:iCs w:val="0"/>
          <w:caps w:val="0"/>
          <w:color w:val="auto"/>
          <w:spacing w:val="0"/>
          <w:kern w:val="0"/>
          <w:sz w:val="32"/>
          <w:szCs w:val="32"/>
          <w:lang w:eastAsia="zh-CN" w:bidi="ar"/>
        </w:rPr>
        <w:t>学</w:t>
      </w:r>
      <w:r>
        <w:rPr>
          <w:rFonts w:hint="eastAsia" w:ascii="仿宋_GB2312" w:hAnsi="宋体" w:eastAsia="仿宋_GB2312" w:cs="仿宋_GB2312"/>
          <w:i w:val="0"/>
          <w:iCs w:val="0"/>
          <w:caps w:val="0"/>
          <w:color w:val="auto"/>
          <w:spacing w:val="0"/>
          <w:kern w:val="0"/>
          <w:sz w:val="32"/>
          <w:szCs w:val="32"/>
          <w:lang w:bidi="ar"/>
        </w:rPr>
        <w:t>校共青团</w:t>
      </w:r>
      <w:r>
        <w:rPr>
          <w:rFonts w:hint="eastAsia" w:ascii="仿宋_GB2312" w:hAnsi="宋体" w:eastAsia="仿宋_GB2312" w:cs="仿宋_GB2312"/>
          <w:i w:val="0"/>
          <w:iCs w:val="0"/>
          <w:caps w:val="0"/>
          <w:color w:val="auto"/>
          <w:spacing w:val="0"/>
          <w:kern w:val="0"/>
          <w:sz w:val="32"/>
          <w:szCs w:val="32"/>
          <w:lang w:eastAsia="zh-CN" w:bidi="ar"/>
        </w:rPr>
        <w:t>年度</w:t>
      </w:r>
      <w:r>
        <w:rPr>
          <w:rFonts w:hint="eastAsia" w:ascii="仿宋_GB2312" w:hAnsi="宋体" w:eastAsia="仿宋_GB2312" w:cs="仿宋_GB2312"/>
          <w:i w:val="0"/>
          <w:iCs w:val="0"/>
          <w:caps w:val="0"/>
          <w:color w:val="auto"/>
          <w:spacing w:val="0"/>
          <w:kern w:val="0"/>
          <w:sz w:val="32"/>
          <w:szCs w:val="32"/>
          <w:lang w:bidi="ar"/>
        </w:rPr>
        <w:t>重点任务</w:t>
      </w:r>
      <w:r>
        <w:rPr>
          <w:rFonts w:hint="eastAsia" w:ascii="仿宋_GB2312" w:hAnsi="宋体" w:eastAsia="仿宋_GB2312" w:cs="仿宋_GB2312"/>
          <w:i w:val="0"/>
          <w:iCs w:val="0"/>
          <w:caps w:val="0"/>
          <w:color w:val="auto"/>
          <w:spacing w:val="0"/>
          <w:kern w:val="0"/>
          <w:sz w:val="32"/>
          <w:szCs w:val="32"/>
          <w:lang w:eastAsia="zh-CN" w:bidi="ar"/>
        </w:rPr>
        <w:t>，</w:t>
      </w:r>
      <w:r>
        <w:rPr>
          <w:rFonts w:hint="eastAsia" w:ascii="仿宋_GB2312" w:hAnsi="宋体" w:eastAsia="仿宋_GB2312" w:cs="仿宋_GB2312"/>
          <w:color w:val="auto"/>
          <w:kern w:val="0"/>
          <w:sz w:val="32"/>
          <w:szCs w:val="32"/>
          <w:lang w:eastAsia="zh-CN" w:bidi="ar"/>
        </w:rPr>
        <w:t>认真</w:t>
      </w:r>
      <w:r>
        <w:rPr>
          <w:rFonts w:hint="eastAsia" w:ascii="仿宋_GB2312" w:hAnsi="宋体" w:eastAsia="仿宋_GB2312" w:cs="仿宋_GB2312"/>
          <w:color w:val="auto"/>
          <w:kern w:val="0"/>
          <w:sz w:val="32"/>
          <w:szCs w:val="32"/>
          <w:lang w:bidi="ar"/>
        </w:rPr>
        <w:t>撰写</w:t>
      </w:r>
      <w:r>
        <w:rPr>
          <w:rFonts w:hint="eastAsia" w:ascii="仿宋_GB2312" w:hAnsi="宋体" w:eastAsia="仿宋_GB2312" w:cs="仿宋_GB2312"/>
          <w:color w:val="auto"/>
          <w:kern w:val="0"/>
          <w:sz w:val="32"/>
          <w:szCs w:val="32"/>
          <w:lang w:eastAsia="zh-CN" w:bidi="ar"/>
        </w:rPr>
        <w:t>书面</w:t>
      </w:r>
      <w:r>
        <w:rPr>
          <w:rFonts w:hint="eastAsia" w:ascii="仿宋_GB2312" w:hAnsi="宋体" w:eastAsia="仿宋_GB2312" w:cs="仿宋_GB2312"/>
          <w:color w:val="auto"/>
          <w:kern w:val="0"/>
          <w:sz w:val="32"/>
          <w:szCs w:val="32"/>
          <w:lang w:bidi="ar"/>
        </w:rPr>
        <w:t>述职报告（模板见附件4）</w:t>
      </w:r>
      <w:r>
        <w:rPr>
          <w:rFonts w:hint="eastAsia" w:ascii="仿宋_GB2312" w:hAnsi="宋体" w:eastAsia="仿宋_GB2312" w:cs="仿宋_GB2312"/>
          <w:i w:val="0"/>
          <w:iCs w:val="0"/>
          <w:caps w:val="0"/>
          <w:color w:val="auto"/>
          <w:spacing w:val="0"/>
          <w:kern w:val="0"/>
          <w:sz w:val="32"/>
          <w:szCs w:val="32"/>
          <w:lang w:bidi="ar"/>
        </w:rPr>
        <w:t>，</w:t>
      </w:r>
      <w:r>
        <w:rPr>
          <w:rFonts w:hint="eastAsia" w:ascii="仿宋_GB2312" w:hAnsi="宋体" w:eastAsia="仿宋_GB2312" w:cs="仿宋_GB2312"/>
          <w:i w:val="0"/>
          <w:iCs w:val="0"/>
          <w:caps w:val="0"/>
          <w:color w:val="auto"/>
          <w:spacing w:val="0"/>
          <w:kern w:val="0"/>
          <w:sz w:val="32"/>
          <w:szCs w:val="32"/>
          <w:lang w:val="en-US" w:eastAsia="zh-CN" w:bidi="ar"/>
        </w:rPr>
        <w:t>报告应</w:t>
      </w:r>
      <w:r>
        <w:rPr>
          <w:rFonts w:hint="eastAsia" w:ascii="仿宋_GB2312" w:hAnsi="宋体" w:eastAsia="仿宋_GB2312" w:cs="仿宋_GB2312"/>
          <w:i w:val="0"/>
          <w:iCs w:val="0"/>
          <w:caps w:val="0"/>
          <w:color w:val="auto"/>
          <w:spacing w:val="0"/>
          <w:kern w:val="0"/>
          <w:sz w:val="32"/>
          <w:szCs w:val="32"/>
          <w:lang w:eastAsia="zh-CN" w:bidi="ar"/>
        </w:rPr>
        <w:t>突出履职实绩，</w:t>
      </w:r>
      <w:r>
        <w:rPr>
          <w:rFonts w:hint="eastAsia" w:ascii="仿宋_GB2312" w:hAnsi="宋体" w:eastAsia="仿宋_GB2312" w:cs="仿宋_GB2312"/>
          <w:i w:val="0"/>
          <w:iCs w:val="0"/>
          <w:caps w:val="0"/>
          <w:color w:val="auto"/>
          <w:spacing w:val="0"/>
          <w:kern w:val="0"/>
          <w:sz w:val="32"/>
          <w:szCs w:val="32"/>
          <w:highlight w:val="none"/>
          <w:shd w:val="clear" w:fill="auto"/>
          <w:lang w:val="en-US" w:eastAsia="zh-CN" w:bidi="ar"/>
        </w:rPr>
        <w:t>以</w:t>
      </w:r>
      <w:r>
        <w:rPr>
          <w:rFonts w:hint="eastAsia" w:ascii="仿宋_GB2312" w:hAnsi="宋体" w:eastAsia="仿宋_GB2312" w:cs="仿宋_GB2312"/>
          <w:i w:val="0"/>
          <w:iCs w:val="0"/>
          <w:caps w:val="0"/>
          <w:color w:val="auto"/>
          <w:spacing w:val="0"/>
          <w:kern w:val="0"/>
          <w:sz w:val="32"/>
          <w:szCs w:val="32"/>
          <w:highlight w:val="none"/>
          <w:shd w:val="clear" w:fill="auto"/>
          <w:lang w:eastAsia="zh-CN" w:bidi="ar"/>
        </w:rPr>
        <w:t>具体</w:t>
      </w:r>
      <w:r>
        <w:rPr>
          <w:rFonts w:hint="eastAsia" w:ascii="仿宋_GB2312" w:hAnsi="宋体" w:eastAsia="仿宋_GB2312" w:cs="仿宋_GB2312"/>
          <w:i w:val="0"/>
          <w:iCs w:val="0"/>
          <w:caps w:val="0"/>
          <w:color w:val="auto"/>
          <w:spacing w:val="0"/>
          <w:kern w:val="0"/>
          <w:sz w:val="32"/>
          <w:szCs w:val="32"/>
          <w:highlight w:val="none"/>
          <w:shd w:val="clear" w:fill="auto"/>
          <w:lang w:bidi="ar"/>
        </w:rPr>
        <w:t>数据、事实</w:t>
      </w:r>
      <w:r>
        <w:rPr>
          <w:rFonts w:hint="eastAsia" w:ascii="仿宋_GB2312" w:hAnsi="宋体" w:eastAsia="仿宋_GB2312" w:cs="仿宋_GB2312"/>
          <w:i w:val="0"/>
          <w:iCs w:val="0"/>
          <w:caps w:val="0"/>
          <w:color w:val="auto"/>
          <w:spacing w:val="0"/>
          <w:kern w:val="0"/>
          <w:sz w:val="32"/>
          <w:szCs w:val="32"/>
          <w:highlight w:val="none"/>
          <w:shd w:val="clear" w:fill="auto"/>
          <w:lang w:eastAsia="zh-CN" w:bidi="ar"/>
        </w:rPr>
        <w:t>和案例</w:t>
      </w:r>
      <w:r>
        <w:rPr>
          <w:rFonts w:hint="eastAsia" w:ascii="仿宋_GB2312" w:hAnsi="宋体" w:eastAsia="仿宋_GB2312" w:cs="仿宋_GB2312"/>
          <w:i w:val="0"/>
          <w:iCs w:val="0"/>
          <w:caps w:val="0"/>
          <w:color w:val="auto"/>
          <w:spacing w:val="0"/>
          <w:kern w:val="0"/>
          <w:sz w:val="32"/>
          <w:szCs w:val="32"/>
          <w:highlight w:val="none"/>
          <w:shd w:val="clear" w:fill="auto"/>
          <w:lang w:val="en-US" w:eastAsia="zh-CN" w:bidi="ar"/>
        </w:rPr>
        <w:t>为</w:t>
      </w:r>
      <w:r>
        <w:rPr>
          <w:rFonts w:hint="eastAsia" w:ascii="仿宋_GB2312" w:hAnsi="宋体" w:eastAsia="仿宋_GB2312" w:cs="仿宋_GB2312"/>
          <w:i w:val="0"/>
          <w:iCs w:val="0"/>
          <w:caps w:val="0"/>
          <w:color w:val="auto"/>
          <w:spacing w:val="0"/>
          <w:kern w:val="0"/>
          <w:sz w:val="32"/>
          <w:szCs w:val="32"/>
          <w:highlight w:val="none"/>
          <w:shd w:val="clear" w:fill="auto"/>
          <w:lang w:eastAsia="zh-CN" w:bidi="ar"/>
        </w:rPr>
        <w:t>支撑，客观总结成绩、深入查摆问题、</w:t>
      </w:r>
      <w:r>
        <w:rPr>
          <w:rFonts w:hint="eastAsia" w:ascii="仿宋_GB2312" w:hAnsi="宋体" w:eastAsia="仿宋_GB2312" w:cs="仿宋_GB2312"/>
          <w:i w:val="0"/>
          <w:iCs w:val="0"/>
          <w:caps w:val="0"/>
          <w:color w:val="auto"/>
          <w:spacing w:val="0"/>
          <w:kern w:val="0"/>
          <w:sz w:val="32"/>
          <w:szCs w:val="32"/>
          <w:highlight w:val="none"/>
          <w:shd w:val="clear" w:fill="auto"/>
          <w:lang w:val="en-US" w:eastAsia="zh-CN" w:bidi="ar"/>
        </w:rPr>
        <w:t>明确</w:t>
      </w:r>
      <w:r>
        <w:rPr>
          <w:rFonts w:hint="eastAsia" w:ascii="仿宋_GB2312" w:hAnsi="宋体" w:eastAsia="仿宋_GB2312" w:cs="仿宋_GB2312"/>
          <w:i w:val="0"/>
          <w:iCs w:val="0"/>
          <w:caps w:val="0"/>
          <w:color w:val="auto"/>
          <w:spacing w:val="0"/>
          <w:kern w:val="0"/>
          <w:sz w:val="32"/>
          <w:szCs w:val="32"/>
          <w:highlight w:val="none"/>
          <w:shd w:val="clear" w:fill="auto"/>
          <w:lang w:eastAsia="zh-CN" w:bidi="ar"/>
        </w:rPr>
        <w:t>改进措施，字数控制在2000字以内</w:t>
      </w:r>
      <w:r>
        <w:rPr>
          <w:rFonts w:hint="eastAsia" w:ascii="仿宋_GB2312" w:hAnsi="仿宋_GB2312" w:eastAsia="仿宋_GB2312" w:cs="仿宋_GB2312"/>
          <w:color w:val="auto"/>
          <w:sz w:val="32"/>
          <w:szCs w:val="32"/>
          <w:highlight w:val="none"/>
          <w:lang w:val="en-US" w:eastAsia="zh-CN"/>
        </w:rPr>
        <w:t>。经学院党总支（分党委）负责人审核签字后，于12月29日10:00前将电子版及纸质版报送至校团委。</w:t>
      </w:r>
    </w:p>
    <w:p w14:paraId="50018849">
      <w:pPr>
        <w:keepNext w:val="0"/>
        <w:keepLines w:val="0"/>
        <w:pageBreakBefore w:val="0"/>
        <w:numPr>
          <w:ilvl w:val="-1"/>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宋体" w:eastAsia="仿宋_GB2312" w:cs="仿宋_GB2312"/>
          <w:b/>
          <w:bCs/>
          <w:color w:val="auto"/>
          <w:kern w:val="0"/>
          <w:sz w:val="32"/>
          <w:szCs w:val="32"/>
          <w:highlight w:val="none"/>
          <w:lang w:val="en-US" w:eastAsia="zh-CN" w:bidi="ar"/>
        </w:rPr>
        <w:t>2.组织评审：</w:t>
      </w:r>
      <w:r>
        <w:rPr>
          <w:rFonts w:hint="eastAsia" w:ascii="仿宋_GB2312" w:hAnsi="仿宋_GB2312" w:eastAsia="仿宋_GB2312" w:cs="仿宋_GB2312"/>
          <w:b w:val="0"/>
          <w:bCs w:val="0"/>
          <w:color w:val="auto"/>
          <w:kern w:val="2"/>
          <w:sz w:val="32"/>
          <w:szCs w:val="32"/>
          <w:highlight w:val="none"/>
          <w:lang w:val="en-US" w:eastAsia="zh-CN" w:bidi="ar"/>
        </w:rPr>
        <w:t>2026年</w:t>
      </w:r>
      <w:r>
        <w:rPr>
          <w:rFonts w:hint="eastAsia" w:ascii="仿宋_GB2312" w:hAnsi="仿宋_GB2312" w:eastAsia="仿宋_GB2312" w:cs="仿宋_GB2312"/>
          <w:i w:val="0"/>
          <w:iCs w:val="0"/>
          <w:caps w:val="0"/>
          <w:color w:val="auto"/>
          <w:spacing w:val="0"/>
          <w:kern w:val="2"/>
          <w:sz w:val="32"/>
          <w:szCs w:val="32"/>
          <w:highlight w:val="none"/>
          <w:shd w:val="clear"/>
          <w:lang w:val="en-US" w:eastAsia="zh-CN" w:bidi="ar"/>
        </w:rPr>
        <w:t>1月5日至8</w:t>
      </w:r>
      <w:r>
        <w:rPr>
          <w:rFonts w:hint="eastAsia" w:ascii="仿宋_GB2312" w:hAnsi="宋体" w:eastAsia="仿宋_GB2312" w:cs="仿宋_GB2312"/>
          <w:i w:val="0"/>
          <w:iCs w:val="0"/>
          <w:caps w:val="0"/>
          <w:color w:val="auto"/>
          <w:spacing w:val="0"/>
          <w:kern w:val="0"/>
          <w:sz w:val="32"/>
          <w:szCs w:val="32"/>
          <w:highlight w:val="none"/>
          <w:shd w:val="clear" w:fill="auto"/>
          <w:lang w:val="en-US" w:eastAsia="zh-CN" w:bidi="ar"/>
        </w:rPr>
        <w:t>日，</w:t>
      </w:r>
      <w:r>
        <w:rPr>
          <w:rFonts w:hint="eastAsia" w:ascii="仿宋_GB2312" w:hAnsi="仿宋_GB2312" w:eastAsia="仿宋_GB2312" w:cs="仿宋_GB2312"/>
          <w:color w:val="auto"/>
          <w:sz w:val="32"/>
          <w:szCs w:val="32"/>
          <w:highlight w:val="none"/>
          <w:lang w:val="en-US" w:eastAsia="zh-CN"/>
        </w:rPr>
        <w:t>由</w:t>
      </w:r>
      <w:r>
        <w:rPr>
          <w:rFonts w:hint="eastAsia" w:ascii="仿宋_GB2312" w:hAnsi="仿宋_GB2312" w:eastAsia="仿宋_GB2312" w:cs="仿宋_GB2312"/>
          <w:i w:val="0"/>
          <w:iCs w:val="0"/>
          <w:caps w:val="0"/>
          <w:color w:val="auto"/>
          <w:spacing w:val="0"/>
          <w:sz w:val="32"/>
          <w:szCs w:val="32"/>
          <w:highlight w:val="none"/>
          <w:shd w:val="clear" w:fill="auto"/>
        </w:rPr>
        <w:t>校级评审组</w:t>
      </w:r>
      <w:r>
        <w:rPr>
          <w:rFonts w:hint="eastAsia" w:ascii="仿宋_GB2312" w:hAnsi="仿宋_GB2312" w:eastAsia="仿宋_GB2312" w:cs="仿宋_GB2312"/>
          <w:color w:val="auto"/>
          <w:sz w:val="32"/>
          <w:szCs w:val="32"/>
          <w:highlight w:val="none"/>
        </w:rPr>
        <w:t>（权重70%）</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rPr>
        <w:t>学院互评</w:t>
      </w:r>
      <w:r>
        <w:rPr>
          <w:rFonts w:hint="eastAsia" w:ascii="仿宋_GB2312" w:hAnsi="仿宋_GB2312" w:eastAsia="仿宋_GB2312" w:cs="仿宋_GB2312"/>
          <w:color w:val="auto"/>
          <w:sz w:val="32"/>
          <w:szCs w:val="32"/>
          <w:highlight w:val="none"/>
          <w:lang w:eastAsia="zh-CN"/>
        </w:rPr>
        <w:t>组</w:t>
      </w:r>
      <w:r>
        <w:rPr>
          <w:rFonts w:hint="eastAsia" w:ascii="仿宋_GB2312" w:hAnsi="仿宋_GB2312" w:eastAsia="仿宋_GB2312" w:cs="仿宋_GB2312"/>
          <w:color w:val="auto"/>
          <w:sz w:val="32"/>
          <w:szCs w:val="32"/>
          <w:highlight w:val="none"/>
        </w:rPr>
        <w:t>（权重30%）</w:t>
      </w:r>
      <w:r>
        <w:rPr>
          <w:rFonts w:hint="eastAsia" w:ascii="仿宋_GB2312" w:hAnsi="仿宋_GB2312" w:eastAsia="仿宋_GB2312" w:cs="仿宋_GB2312"/>
          <w:color w:val="auto"/>
          <w:sz w:val="32"/>
          <w:szCs w:val="32"/>
          <w:highlight w:val="none"/>
          <w:lang w:val="en-US" w:eastAsia="zh-CN"/>
        </w:rPr>
        <w:t>进行联合评审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
        </w:rPr>
        <w:t>计分方式：</w:t>
      </w:r>
      <w:r>
        <w:rPr>
          <w:rFonts w:hint="eastAsia" w:ascii="仿宋_GB2312" w:hAnsi="仿宋_GB2312" w:eastAsia="仿宋_GB2312" w:cs="仿宋_GB2312"/>
          <w:color w:val="auto"/>
          <w:sz w:val="32"/>
          <w:szCs w:val="32"/>
          <w:highlight w:val="none"/>
        </w:rPr>
        <w:t>校级评审</w:t>
      </w:r>
      <w:r>
        <w:rPr>
          <w:rFonts w:hint="eastAsia" w:ascii="仿宋_GB2312" w:hAnsi="仿宋_GB2312" w:eastAsia="仿宋_GB2312" w:cs="仿宋_GB2312"/>
          <w:color w:val="auto"/>
          <w:sz w:val="32"/>
          <w:szCs w:val="32"/>
          <w:highlight w:val="none"/>
          <w:lang w:val="en-US" w:eastAsia="zh-CN"/>
        </w:rPr>
        <w:t>组</w:t>
      </w:r>
      <w:r>
        <w:rPr>
          <w:rFonts w:hint="eastAsia" w:ascii="仿宋_GB2312" w:hAnsi="仿宋_GB2312" w:eastAsia="仿宋_GB2312" w:cs="仿宋_GB2312"/>
          <w:color w:val="auto"/>
          <w:sz w:val="32"/>
          <w:szCs w:val="32"/>
          <w:highlight w:val="none"/>
        </w:rPr>
        <w:t>平均分×70%+学院互评</w:t>
      </w:r>
      <w:r>
        <w:rPr>
          <w:rFonts w:hint="eastAsia" w:ascii="仿宋_GB2312" w:hAnsi="仿宋_GB2312" w:eastAsia="仿宋_GB2312" w:cs="仿宋_GB2312"/>
          <w:color w:val="auto"/>
          <w:sz w:val="32"/>
          <w:szCs w:val="32"/>
          <w:highlight w:val="none"/>
          <w:lang w:val="en-US" w:eastAsia="zh-CN"/>
        </w:rPr>
        <w:t>组</w:t>
      </w:r>
      <w:r>
        <w:rPr>
          <w:rFonts w:hint="eastAsia" w:ascii="仿宋_GB2312" w:hAnsi="仿宋_GB2312" w:eastAsia="仿宋_GB2312" w:cs="仿宋_GB2312"/>
          <w:color w:val="auto"/>
          <w:sz w:val="32"/>
          <w:szCs w:val="32"/>
          <w:highlight w:val="none"/>
        </w:rPr>
        <w:t>平均分×30%。为减少极端值影响，计算平均分前，各组分别去掉一个最高分和一个最低分。</w:t>
      </w:r>
    </w:p>
    <w:p w14:paraId="5DB3FD7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（三）团员青年评议（2026年1月8日前）</w:t>
      </w:r>
    </w:p>
    <w:p w14:paraId="2A04005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校团委组织实施满意度测评。通过实地走访，按各学院团员</w:t>
      </w:r>
      <w:r>
        <w:rPr>
          <w:rFonts w:hint="eastAsia" w:ascii="仿宋_GB2312" w:hAnsi="仿宋" w:eastAsia="仿宋_GB2312"/>
          <w:sz w:val="32"/>
          <w:szCs w:val="32"/>
          <w:lang w:val="en-US" w:eastAsia="zh-CN"/>
        </w:rPr>
        <w:t>人数随机抽取6</w:t>
      </w:r>
      <w:r>
        <w:rPr>
          <w:rFonts w:hint="eastAsia" w:ascii="仿宋_GB2312" w:hAnsi="仿宋" w:eastAsia="仿宋_GB2312"/>
          <w:sz w:val="32"/>
          <w:szCs w:val="32"/>
        </w:rPr>
        <w:t>0至150人学生代表（普通</w:t>
      </w:r>
      <w:r>
        <w:rPr>
          <w:rFonts w:hint="eastAsia" w:ascii="仿宋_GB2312" w:hAnsi="仿宋" w:eastAsia="仿宋_GB2312"/>
          <w:sz w:val="32"/>
          <w:szCs w:val="32"/>
          <w:lang w:val="en-US" w:eastAsia="zh-CN"/>
        </w:rPr>
        <w:t>团员</w:t>
      </w:r>
      <w:r>
        <w:rPr>
          <w:rFonts w:hint="eastAsia" w:ascii="仿宋_GB2312" w:hAnsi="仿宋" w:eastAsia="仿宋_GB2312"/>
          <w:sz w:val="32"/>
          <w:szCs w:val="32"/>
        </w:rPr>
        <w:t>占比不低于70%），</w:t>
      </w:r>
      <w:r>
        <w:rPr>
          <w:rFonts w:hint="eastAsia" w:ascii="仿宋_GB2312" w:hAnsi="仿宋" w:eastAsia="仿宋_GB2312"/>
          <w:sz w:val="32"/>
          <w:szCs w:val="32"/>
          <w:lang w:val="en-US" w:eastAsia="zh-CN"/>
        </w:rPr>
        <w:t>通过</w:t>
      </w:r>
      <w:r>
        <w:rPr>
          <w:rFonts w:hint="eastAsia" w:ascii="仿宋_GB2312" w:hAnsi="仿宋" w:eastAsia="仿宋_GB2312"/>
          <w:sz w:val="32"/>
          <w:szCs w:val="32"/>
        </w:rPr>
        <w:t>线上匿名</w:t>
      </w:r>
      <w:r>
        <w:rPr>
          <w:rFonts w:hint="eastAsia" w:ascii="仿宋_GB2312" w:hAnsi="仿宋" w:eastAsia="仿宋_GB2312"/>
          <w:sz w:val="32"/>
          <w:szCs w:val="32"/>
          <w:lang w:val="en-US" w:eastAsia="zh-CN"/>
        </w:rPr>
        <w:t>方式进行</w:t>
      </w:r>
      <w:r>
        <w:rPr>
          <w:rFonts w:hint="eastAsia" w:ascii="仿宋_GB2312" w:hAnsi="仿宋" w:eastAsia="仿宋_GB2312"/>
          <w:sz w:val="32"/>
          <w:szCs w:val="32"/>
        </w:rPr>
        <w:t>“背靠背”测评。确保操作规范、结果真实。</w:t>
      </w:r>
    </w:p>
    <w:p w14:paraId="1F9BA623">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 w:eastAsia="仿宋_GB2312"/>
          <w:b/>
          <w:bCs/>
          <w:sz w:val="32"/>
          <w:szCs w:val="32"/>
          <w:highlight w:val="none"/>
        </w:rPr>
      </w:pPr>
      <w:r>
        <w:rPr>
          <w:rFonts w:hint="eastAsia" w:ascii="楷体_GB2312" w:hAnsi="楷体_GB2312" w:eastAsia="楷体_GB2312" w:cs="楷体_GB2312"/>
          <w:sz w:val="32"/>
          <w:szCs w:val="32"/>
          <w:highlight w:val="none"/>
          <w:lang w:val="en-US" w:eastAsia="zh-CN"/>
        </w:rPr>
        <w:t>（四）现场汇报评议（拟于2026年1月9日）</w:t>
      </w:r>
    </w:p>
    <w:p w14:paraId="04005B3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 w:eastAsia="仿宋_GB2312"/>
          <w:sz w:val="32"/>
          <w:szCs w:val="32"/>
          <w:highlight w:val="none"/>
        </w:rPr>
      </w:pPr>
      <w:r>
        <w:rPr>
          <w:rFonts w:hint="eastAsia" w:ascii="仿宋_GB2312" w:hAnsi="仿宋" w:eastAsia="仿宋_GB2312"/>
          <w:b/>
          <w:bCs/>
          <w:sz w:val="32"/>
          <w:szCs w:val="32"/>
          <w:highlight w:val="none"/>
          <w:lang w:val="en-US" w:eastAsia="zh-CN"/>
        </w:rPr>
        <w:t>1.</w:t>
      </w:r>
      <w:r>
        <w:rPr>
          <w:rFonts w:hint="eastAsia" w:ascii="仿宋_GB2312" w:hAnsi="仿宋" w:eastAsia="仿宋_GB2312"/>
          <w:b/>
          <w:bCs/>
          <w:sz w:val="32"/>
          <w:szCs w:val="32"/>
          <w:highlight w:val="none"/>
        </w:rPr>
        <w:t>评议形式：</w:t>
      </w:r>
      <w:r>
        <w:rPr>
          <w:rFonts w:hint="eastAsia" w:ascii="仿宋_GB2312" w:hAnsi="仿宋" w:eastAsia="仿宋_GB2312"/>
          <w:b w:val="0"/>
          <w:bCs w:val="0"/>
          <w:sz w:val="32"/>
          <w:szCs w:val="32"/>
          <w:highlight w:val="none"/>
        </w:rPr>
        <w:t>采用视频连线方式召开现场述职评议会，主会场设在太白湖校区教学楼631报告厅，分会场设在日照校区办公楼0911会议室。</w:t>
      </w:r>
      <w:r>
        <w:rPr>
          <w:rFonts w:hint="eastAsia" w:ascii="仿宋_GB2312" w:hAnsi="仿宋" w:eastAsia="仿宋_GB2312"/>
          <w:b w:val="0"/>
          <w:bCs w:val="0"/>
          <w:sz w:val="32"/>
          <w:szCs w:val="32"/>
          <w:highlight w:val="none"/>
          <w:lang w:val="en-US" w:eastAsia="zh-CN"/>
        </w:rPr>
        <w:t>述职采用</w:t>
      </w:r>
      <w:r>
        <w:rPr>
          <w:rFonts w:hint="eastAsia" w:ascii="仿宋_GB2312" w:hAnsi="仿宋" w:eastAsia="仿宋_GB2312"/>
          <w:sz w:val="32"/>
          <w:szCs w:val="32"/>
          <w:highlight w:val="none"/>
        </w:rPr>
        <w:t>PPT</w:t>
      </w:r>
      <w:r>
        <w:rPr>
          <w:rFonts w:hint="eastAsia" w:ascii="仿宋_GB2312" w:hAnsi="仿宋" w:eastAsia="仿宋_GB2312"/>
          <w:sz w:val="32"/>
          <w:szCs w:val="32"/>
          <w:highlight w:val="none"/>
          <w:lang w:val="en-US" w:eastAsia="zh-CN"/>
        </w:rPr>
        <w:t>汇报，</w:t>
      </w:r>
      <w:r>
        <w:rPr>
          <w:rFonts w:hint="eastAsia" w:ascii="仿宋_GB2312" w:hAnsi="仿宋" w:eastAsia="仿宋_GB2312"/>
          <w:sz w:val="32"/>
          <w:szCs w:val="32"/>
          <w:highlight w:val="none"/>
        </w:rPr>
        <w:t>限时6分钟</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汇报内容须紧扣学校共青团年度重点工作，</w:t>
      </w:r>
      <w:r>
        <w:rPr>
          <w:rFonts w:hint="eastAsia" w:ascii="仿宋_GB2312" w:hAnsi="仿宋" w:eastAsia="仿宋_GB2312"/>
          <w:sz w:val="32"/>
          <w:szCs w:val="32"/>
          <w:highlight w:val="none"/>
          <w:lang w:val="en-US" w:eastAsia="zh-CN"/>
        </w:rPr>
        <w:t>重点</w:t>
      </w:r>
      <w:r>
        <w:rPr>
          <w:rFonts w:hint="eastAsia" w:ascii="仿宋_GB2312" w:hAnsi="仿宋" w:eastAsia="仿宋_GB2312"/>
          <w:sz w:val="32"/>
          <w:szCs w:val="32"/>
          <w:highlight w:val="none"/>
        </w:rPr>
        <w:t>选取1至2项特色亮点工作</w:t>
      </w:r>
      <w:r>
        <w:rPr>
          <w:rFonts w:hint="eastAsia" w:ascii="仿宋_GB2312" w:hAnsi="仿宋" w:eastAsia="仿宋_GB2312"/>
          <w:sz w:val="32"/>
          <w:szCs w:val="32"/>
          <w:highlight w:val="none"/>
          <w:lang w:val="en-US" w:eastAsia="zh-CN"/>
        </w:rPr>
        <w:t>进行</w:t>
      </w:r>
      <w:r>
        <w:rPr>
          <w:rFonts w:hint="eastAsia" w:ascii="仿宋_GB2312" w:hAnsi="仿宋" w:eastAsia="仿宋_GB2312"/>
          <w:sz w:val="32"/>
          <w:szCs w:val="32"/>
          <w:highlight w:val="none"/>
        </w:rPr>
        <w:t>阐述，包括开展情况、实际成效、存在问题及下一步打算等。</w:t>
      </w:r>
    </w:p>
    <w:p w14:paraId="00AA8BC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 w:eastAsia="仿宋_GB2312"/>
          <w:b/>
          <w:bCs/>
          <w:sz w:val="32"/>
          <w:szCs w:val="32"/>
          <w:highlight w:val="none"/>
        </w:rPr>
      </w:pPr>
      <w:r>
        <w:rPr>
          <w:rFonts w:hint="eastAsia" w:ascii="仿宋_GB2312" w:hAnsi="仿宋" w:eastAsia="仿宋_GB2312"/>
          <w:b/>
          <w:bCs/>
          <w:sz w:val="32"/>
          <w:szCs w:val="32"/>
          <w:highlight w:val="none"/>
          <w:lang w:val="en-US" w:eastAsia="zh-CN"/>
        </w:rPr>
        <w:t>2.</w:t>
      </w:r>
      <w:r>
        <w:rPr>
          <w:rFonts w:hint="eastAsia" w:ascii="仿宋_GB2312" w:hAnsi="仿宋" w:eastAsia="仿宋_GB2312"/>
          <w:b/>
          <w:bCs/>
          <w:sz w:val="32"/>
          <w:szCs w:val="32"/>
          <w:highlight w:val="none"/>
        </w:rPr>
        <w:t>评委会组成与计分：</w:t>
      </w:r>
      <w:r>
        <w:rPr>
          <w:rFonts w:hint="eastAsia" w:ascii="仿宋_GB2312" w:hAnsi="仿宋" w:eastAsia="仿宋_GB2312"/>
          <w:b w:val="0"/>
          <w:bCs w:val="0"/>
          <w:sz w:val="32"/>
          <w:szCs w:val="32"/>
          <w:highlight w:val="none"/>
        </w:rPr>
        <w:t>现场评委会</w:t>
      </w:r>
      <w:r>
        <w:rPr>
          <w:rFonts w:hint="eastAsia" w:ascii="仿宋_GB2312" w:hAnsi="仿宋" w:eastAsia="仿宋_GB2312"/>
          <w:b w:val="0"/>
          <w:bCs w:val="0"/>
          <w:sz w:val="32"/>
          <w:szCs w:val="32"/>
          <w:highlight w:val="none"/>
          <w:lang w:val="en-US" w:eastAsia="zh-CN"/>
        </w:rPr>
        <w:t>由相关</w:t>
      </w:r>
      <w:r>
        <w:rPr>
          <w:rFonts w:hint="eastAsia" w:ascii="仿宋_GB2312" w:hAnsi="仿宋" w:eastAsia="仿宋_GB2312"/>
          <w:b w:val="0"/>
          <w:bCs w:val="0"/>
          <w:sz w:val="32"/>
          <w:szCs w:val="32"/>
          <w:highlight w:val="none"/>
          <w:lang w:eastAsia="zh-CN"/>
        </w:rPr>
        <w:t>党政领导</w:t>
      </w:r>
      <w:r>
        <w:rPr>
          <w:rFonts w:hint="eastAsia" w:ascii="仿宋_GB2312" w:hAnsi="仿宋" w:eastAsia="仿宋_GB2312"/>
          <w:b w:val="0"/>
          <w:bCs w:val="0"/>
          <w:sz w:val="32"/>
          <w:szCs w:val="32"/>
          <w:highlight w:val="none"/>
        </w:rPr>
        <w:t>，学院党组织负责人及团员青年代表组成。计分方式：党政领导评分平均分×60%+团员青年代表评分平均分×40%。</w:t>
      </w:r>
    </w:p>
    <w:p w14:paraId="7371DCC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（五）结果确定与运用（2026年1月19日前）</w:t>
      </w:r>
    </w:p>
    <w:p w14:paraId="773A237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校团委汇总计算综合得分，确定“好、较好、一般、差”四个等次。结果将向各学院党</w:t>
      </w:r>
      <w:r>
        <w:rPr>
          <w:rFonts w:hint="eastAsia" w:ascii="仿宋_GB2312" w:hAnsi="仿宋" w:eastAsia="仿宋_GB2312"/>
          <w:sz w:val="32"/>
          <w:szCs w:val="32"/>
          <w:highlight w:val="none"/>
          <w:lang w:val="en-US" w:eastAsia="zh-CN"/>
        </w:rPr>
        <w:t>总支</w:t>
      </w:r>
      <w:r>
        <w:rPr>
          <w:rFonts w:hint="eastAsia" w:ascii="仿宋_GB2312" w:hAnsi="仿宋_GB2312" w:eastAsia="仿宋_GB2312" w:cs="仿宋_GB2312"/>
          <w:kern w:val="2"/>
          <w:sz w:val="32"/>
          <w:szCs w:val="32"/>
          <w:lang w:val="en-US" w:eastAsia="zh-CN" w:bidi="ar-SA"/>
        </w:rPr>
        <w:t>（分党委）</w:t>
      </w:r>
      <w:r>
        <w:rPr>
          <w:rFonts w:hint="eastAsia" w:ascii="仿宋_GB2312" w:hAnsi="仿宋" w:eastAsia="仿宋_GB2312"/>
          <w:sz w:val="32"/>
          <w:szCs w:val="32"/>
          <w:highlight w:val="none"/>
        </w:rPr>
        <w:t>反馈，并作为评先评优、激励约束的重要依据。评价等次为“好”的，授予年度“优秀青年工作者”称号；评价等次为“一般”及以下的，将进行约谈并督促整改。</w:t>
      </w:r>
    </w:p>
    <w:p w14:paraId="63195042">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整改落实</w:t>
      </w:r>
    </w:p>
    <w:p w14:paraId="7E4614C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各团总支书记需针对评议反馈的问</w:t>
      </w:r>
      <w:r>
        <w:rPr>
          <w:rFonts w:hint="eastAsia" w:ascii="仿宋_GB2312" w:hAnsi="仿宋_GB2312" w:eastAsia="仿宋_GB2312" w:cs="仿宋_GB2312"/>
          <w:color w:val="auto"/>
          <w:kern w:val="2"/>
          <w:sz w:val="32"/>
          <w:szCs w:val="32"/>
          <w:highlight w:val="none"/>
          <w:lang w:val="en-US" w:eastAsia="zh-CN" w:bidi="ar-SA"/>
        </w:rPr>
        <w:t>题，</w:t>
      </w:r>
      <w:r>
        <w:rPr>
          <w:rFonts w:hint="eastAsia" w:ascii="仿宋_GB2312" w:hAnsi="仿宋_GB2312" w:eastAsia="仿宋_GB2312" w:cs="仿宋_GB2312"/>
          <w:kern w:val="2"/>
          <w:sz w:val="32"/>
          <w:szCs w:val="32"/>
          <w:highlight w:val="none"/>
          <w:lang w:val="en-US" w:eastAsia="zh-CN" w:bidi="ar-SA"/>
        </w:rPr>
        <w:t>列出清单，制定措施、认真整改。校团委将进行督促检查，并将整改落实情况列入下一年度述职评议内容。</w:t>
      </w:r>
    </w:p>
    <w:p w14:paraId="229E049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rPr>
      </w:pPr>
      <w:r>
        <w:rPr>
          <w:rFonts w:hint="eastAsia" w:ascii="黑体" w:hAnsi="黑体" w:eastAsia="黑体" w:cs="黑体"/>
          <w:kern w:val="2"/>
          <w:sz w:val="32"/>
          <w:szCs w:val="32"/>
          <w:lang w:val="en-US" w:eastAsia="zh-CN" w:bidi="ar-SA"/>
        </w:rPr>
        <w:t>五、有关要求</w:t>
      </w:r>
    </w:p>
    <w:p w14:paraId="19F8283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r>
        <w:rPr>
          <w:rFonts w:hint="eastAsia" w:ascii="楷体_GB2312" w:hAnsi="楷体_GB2312" w:eastAsia="楷体_GB2312" w:cs="楷体_GB2312"/>
          <w:sz w:val="32"/>
          <w:szCs w:val="32"/>
          <w:highlight w:val="none"/>
          <w:lang w:val="en-US" w:eastAsia="zh-CN"/>
        </w:rPr>
        <w:t>（一）高度重视</w:t>
      </w:r>
      <w:r>
        <w:rPr>
          <w:rFonts w:hint="default" w:ascii="楷体_GB2312" w:hAnsi="楷体_GB2312" w:eastAsia="楷体_GB2312" w:cs="楷体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精心</w:t>
      </w:r>
      <w:r>
        <w:rPr>
          <w:rFonts w:hint="default" w:ascii="楷体_GB2312" w:hAnsi="楷体_GB2312" w:eastAsia="楷体_GB2312" w:cs="楷体_GB2312"/>
          <w:sz w:val="32"/>
          <w:szCs w:val="32"/>
          <w:highlight w:val="none"/>
          <w:lang w:val="en-US" w:eastAsia="zh-CN"/>
        </w:rPr>
        <w:t>组织</w:t>
      </w:r>
      <w:r>
        <w:rPr>
          <w:rFonts w:hint="eastAsia" w:ascii="楷体_GB2312" w:hAnsi="楷体_GB2312" w:eastAsia="楷体_GB2312" w:cs="楷体_GB2312"/>
          <w:sz w:val="32"/>
          <w:szCs w:val="32"/>
          <w:highlight w:val="none"/>
          <w:lang w:val="en-US" w:eastAsia="zh-CN"/>
        </w:rPr>
        <w:t>。</w:t>
      </w:r>
      <w:r>
        <w:rPr>
          <w:rFonts w:hint="default" w:ascii="仿宋_GB2312" w:hAnsi="仿宋" w:eastAsia="仿宋_GB2312"/>
          <w:sz w:val="32"/>
          <w:szCs w:val="32"/>
          <w:lang w:val="en-US" w:eastAsia="zh-CN"/>
        </w:rPr>
        <w:t>各团总支要充分认识此项工作的重要意义，严格按照程序和要求抓好落实。</w:t>
      </w:r>
    </w:p>
    <w:p w14:paraId="7B87686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r>
        <w:rPr>
          <w:rFonts w:hint="eastAsia" w:ascii="楷体_GB2312" w:hAnsi="楷体_GB2312" w:eastAsia="楷体_GB2312" w:cs="楷体_GB2312"/>
          <w:sz w:val="32"/>
          <w:szCs w:val="32"/>
          <w:highlight w:val="none"/>
          <w:lang w:val="en-US" w:eastAsia="zh-CN"/>
        </w:rPr>
        <w:t>（二）</w:t>
      </w:r>
      <w:r>
        <w:rPr>
          <w:rFonts w:hint="default" w:ascii="楷体_GB2312" w:hAnsi="楷体_GB2312" w:eastAsia="楷体_GB2312" w:cs="楷体_GB2312"/>
          <w:sz w:val="32"/>
          <w:szCs w:val="32"/>
          <w:highlight w:val="none"/>
          <w:lang w:val="en-US" w:eastAsia="zh-CN"/>
        </w:rPr>
        <w:t>实事求是，</w:t>
      </w:r>
      <w:r>
        <w:rPr>
          <w:rFonts w:hint="eastAsia" w:ascii="楷体_GB2312" w:hAnsi="楷体_GB2312" w:eastAsia="楷体_GB2312" w:cs="楷体_GB2312"/>
          <w:sz w:val="32"/>
          <w:szCs w:val="32"/>
          <w:highlight w:val="none"/>
          <w:lang w:val="en-US" w:eastAsia="zh-CN"/>
        </w:rPr>
        <w:t>突出</w:t>
      </w:r>
      <w:r>
        <w:rPr>
          <w:rFonts w:hint="default" w:ascii="楷体_GB2312" w:hAnsi="楷体_GB2312" w:eastAsia="楷体_GB2312" w:cs="楷体_GB2312"/>
          <w:sz w:val="32"/>
          <w:szCs w:val="32"/>
          <w:highlight w:val="none"/>
          <w:lang w:val="en-US" w:eastAsia="zh-CN"/>
        </w:rPr>
        <w:t>实绩</w:t>
      </w:r>
      <w:r>
        <w:rPr>
          <w:rFonts w:hint="eastAsia" w:ascii="楷体_GB2312" w:hAnsi="楷体_GB2312" w:eastAsia="楷体_GB2312" w:cs="楷体_GB2312"/>
          <w:sz w:val="32"/>
          <w:szCs w:val="32"/>
          <w:highlight w:val="none"/>
          <w:lang w:val="en-US" w:eastAsia="zh-CN"/>
        </w:rPr>
        <w:t>。</w:t>
      </w:r>
      <w:r>
        <w:rPr>
          <w:rFonts w:hint="default" w:ascii="仿宋_GB2312" w:hAnsi="仿宋" w:eastAsia="仿宋_GB2312"/>
          <w:sz w:val="32"/>
          <w:szCs w:val="32"/>
          <w:lang w:val="en-US" w:eastAsia="zh-CN"/>
        </w:rPr>
        <w:t>述职要聚焦主责主业，</w:t>
      </w:r>
      <w:r>
        <w:rPr>
          <w:rFonts w:hint="eastAsia" w:ascii="仿宋_GB2312" w:hAnsi="仿宋" w:eastAsia="仿宋_GB2312"/>
          <w:sz w:val="32"/>
          <w:szCs w:val="32"/>
          <w:lang w:val="en-US" w:eastAsia="zh-CN"/>
        </w:rPr>
        <w:t>全</w:t>
      </w:r>
      <w:r>
        <w:rPr>
          <w:rFonts w:hint="default" w:ascii="仿宋_GB2312" w:hAnsi="仿宋" w:eastAsia="仿宋_GB2312"/>
          <w:sz w:val="32"/>
          <w:szCs w:val="32"/>
          <w:lang w:val="en-US" w:eastAsia="zh-CN"/>
        </w:rPr>
        <w:t>面客观反映工作，深刻查摆问题，杜绝形式主义。</w:t>
      </w:r>
    </w:p>
    <w:p w14:paraId="1C09E7E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r>
        <w:rPr>
          <w:rFonts w:hint="eastAsia" w:ascii="楷体_GB2312" w:hAnsi="楷体_GB2312" w:eastAsia="楷体_GB2312" w:cs="楷体_GB2312"/>
          <w:sz w:val="32"/>
          <w:szCs w:val="32"/>
          <w:highlight w:val="none"/>
          <w:lang w:val="en-US" w:eastAsia="zh-CN"/>
        </w:rPr>
        <w:t>（三）</w:t>
      </w:r>
      <w:r>
        <w:rPr>
          <w:rFonts w:hint="default" w:ascii="楷体_GB2312" w:hAnsi="楷体_GB2312" w:eastAsia="楷体_GB2312" w:cs="楷体_GB2312"/>
          <w:sz w:val="32"/>
          <w:szCs w:val="32"/>
          <w:highlight w:val="none"/>
          <w:lang w:val="en-US" w:eastAsia="zh-CN"/>
        </w:rPr>
        <w:t>以评促建，</w:t>
      </w:r>
      <w:r>
        <w:rPr>
          <w:rFonts w:hint="eastAsia" w:ascii="楷体_GB2312" w:hAnsi="楷体_GB2312" w:eastAsia="楷体_GB2312" w:cs="楷体_GB2312"/>
          <w:sz w:val="32"/>
          <w:szCs w:val="32"/>
          <w:highlight w:val="none"/>
          <w:lang w:val="en-US" w:eastAsia="zh-CN"/>
        </w:rPr>
        <w:t>务求实效。</w:t>
      </w:r>
      <w:r>
        <w:rPr>
          <w:rFonts w:hint="default" w:ascii="仿宋_GB2312" w:hAnsi="仿宋" w:eastAsia="仿宋_GB2312"/>
          <w:sz w:val="32"/>
          <w:szCs w:val="32"/>
          <w:lang w:val="en-US" w:eastAsia="zh-CN"/>
        </w:rPr>
        <w:t>要以述职评议为契机，查短板、强弱项、促提升，切实增强团组织的引领力、组织力、服务力和大局贡献度。</w:t>
      </w:r>
    </w:p>
    <w:p w14:paraId="7B5B9E0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07F572B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联系人：孙安康622596/徐一楠626603</w:t>
      </w:r>
    </w:p>
    <w:p w14:paraId="5B98A70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邮  箱：836783931@qq.com</w:t>
      </w:r>
    </w:p>
    <w:p w14:paraId="443DAD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31014C0D">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附件：1.参评单位（团总支）一览表</w:t>
      </w:r>
    </w:p>
    <w:p w14:paraId="64E1208B">
      <w:pPr>
        <w:keepNext w:val="0"/>
        <w:keepLines w:val="0"/>
        <w:pageBreakBefore w:val="0"/>
        <w:numPr>
          <w:ilvl w:val="0"/>
          <w:numId w:val="0"/>
        </w:numPr>
        <w:kinsoku/>
        <w:wordWrap/>
        <w:overflowPunct/>
        <w:topLinePunct w:val="0"/>
        <w:autoSpaceDE/>
        <w:autoSpaceDN/>
        <w:bidi w:val="0"/>
        <w:adjustRightInd/>
        <w:snapToGrid/>
        <w:spacing w:line="560" w:lineRule="exact"/>
        <w:ind w:left="1916" w:leftChars="760" w:hanging="320" w:hanging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宋体" w:eastAsia="仿宋_GB2312" w:cs="仿宋_GB2312"/>
          <w:color w:val="auto"/>
          <w:kern w:val="0"/>
          <w:sz w:val="32"/>
          <w:szCs w:val="32"/>
          <w:highlight w:val="none"/>
          <w:lang w:val="en-US" w:eastAsia="zh-CN" w:bidi="ar"/>
        </w:rPr>
        <w:t>述职评议人员名单</w:t>
      </w:r>
    </w:p>
    <w:p w14:paraId="56C0B21A">
      <w:pPr>
        <w:keepNext w:val="0"/>
        <w:keepLines w:val="0"/>
        <w:pageBreakBefore w:val="0"/>
        <w:numPr>
          <w:ilvl w:val="0"/>
          <w:numId w:val="0"/>
        </w:numPr>
        <w:kinsoku/>
        <w:wordWrap/>
        <w:overflowPunct/>
        <w:topLinePunct w:val="0"/>
        <w:autoSpaceDE/>
        <w:autoSpaceDN/>
        <w:bidi w:val="0"/>
        <w:adjustRightInd/>
        <w:snapToGrid/>
        <w:spacing w:line="560" w:lineRule="exact"/>
        <w:ind w:left="1916" w:leftChars="760" w:hanging="320" w:hangingChars="1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3.重点工作考核细则</w:t>
      </w:r>
    </w:p>
    <w:p w14:paraId="65DAD2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4.述职报告（模板）</w:t>
      </w:r>
    </w:p>
    <w:p w14:paraId="709FB4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5.现场汇报评分标准</w:t>
      </w:r>
    </w:p>
    <w:p w14:paraId="5120A2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p>
    <w:p w14:paraId="141CFC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仿宋_GB2312" w:hAnsi="仿宋_GB2312" w:eastAsia="仿宋_GB2312" w:cs="仿宋_GB2312"/>
          <w:sz w:val="32"/>
          <w:szCs w:val="32"/>
          <w:lang w:val="en-US" w:eastAsia="zh-CN"/>
        </w:rPr>
      </w:pPr>
    </w:p>
    <w:p w14:paraId="4200B849">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 xml:space="preserve">                         共青团济宁医学院委员会</w:t>
      </w:r>
      <w:r>
        <w:rPr>
          <w:rFonts w:hint="eastAsia" w:ascii="仿宋_GB2312" w:hAnsi="Times New Roman" w:eastAsia="仿宋_GB2312" w:cs="Times New Roman"/>
          <w:sz w:val="32"/>
          <w:szCs w:val="32"/>
        </w:rPr>
        <w:t xml:space="preserve">   </w:t>
      </w:r>
    </w:p>
    <w:p w14:paraId="6D60BBD2">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年1</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17</w:t>
      </w:r>
      <w:r>
        <w:rPr>
          <w:rFonts w:ascii="仿宋_GB2312" w:hAnsi="Times New Roman" w:eastAsia="仿宋_GB2312" w:cs="Times New Roman"/>
          <w:sz w:val="32"/>
          <w:szCs w:val="32"/>
        </w:rPr>
        <w:t>日</w:t>
      </w:r>
    </w:p>
    <w:p w14:paraId="24854F69">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77C7A615">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3664A298">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0BF13350">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01F50462">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28CE1783">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0CD3C868">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2E419E61">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0C490A84">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51BF3ADE">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7F76383D">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1FC4A865">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335D6C85">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76F718D0">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4BDF1796">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46A44025">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7B0AFD7D">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bookmarkStart w:id="0" w:name="_GoBack"/>
      <w:bookmarkEnd w:id="0"/>
    </w:p>
    <w:p w14:paraId="0F080C73">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p>
    <w:p w14:paraId="24BAADDA">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2E9724CE">
      <w:pPr>
        <w:keepNext w:val="0"/>
        <w:keepLines w:val="0"/>
        <w:pageBreakBefore w:val="0"/>
        <w:kinsoku/>
        <w:wordWrap w:val="0"/>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参评单位（团总支）一览表</w:t>
      </w:r>
    </w:p>
    <w:p w14:paraId="51BC86D0">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hint="eastAsia" w:ascii="黑体" w:hAnsi="宋体" w:eastAsia="黑体" w:cs="黑体"/>
          <w:color w:val="000000"/>
          <w:kern w:val="0"/>
          <w:sz w:val="32"/>
          <w:szCs w:val="32"/>
          <w:lang w:val="en-US" w:eastAsia="zh-CN" w:bidi="ar"/>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6370"/>
      </w:tblGrid>
      <w:tr w14:paraId="1D03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3E78F15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2"/>
                <w:szCs w:val="32"/>
                <w:vertAlign w:val="baseline"/>
                <w:lang w:val="en-US" w:eastAsia="zh-CN" w:bidi="ar"/>
              </w:rPr>
            </w:pPr>
            <w:r>
              <w:rPr>
                <w:rFonts w:hint="eastAsia" w:ascii="仿宋_GB2312" w:hAnsi="仿宋_GB2312" w:eastAsia="仿宋_GB2312" w:cs="仿宋_GB2312"/>
                <w:b/>
                <w:bCs/>
                <w:color w:val="000000"/>
                <w:kern w:val="0"/>
                <w:sz w:val="32"/>
                <w:szCs w:val="32"/>
                <w:vertAlign w:val="baseline"/>
                <w:lang w:val="en-US" w:eastAsia="zh-CN" w:bidi="ar"/>
              </w:rPr>
              <w:t>序号</w:t>
            </w:r>
          </w:p>
        </w:tc>
        <w:tc>
          <w:tcPr>
            <w:tcW w:w="6370" w:type="dxa"/>
          </w:tcPr>
          <w:p w14:paraId="2AE6C63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2"/>
                <w:szCs w:val="32"/>
                <w:vertAlign w:val="baseline"/>
                <w:lang w:val="en-US" w:eastAsia="zh-CN" w:bidi="ar"/>
              </w:rPr>
            </w:pPr>
            <w:r>
              <w:rPr>
                <w:rFonts w:hint="eastAsia" w:ascii="仿宋_GB2312" w:hAnsi="仿宋_GB2312" w:eastAsia="仿宋_GB2312" w:cs="仿宋_GB2312"/>
                <w:b/>
                <w:bCs/>
                <w:color w:val="000000"/>
                <w:kern w:val="0"/>
                <w:sz w:val="32"/>
                <w:szCs w:val="32"/>
                <w:vertAlign w:val="baseline"/>
                <w:lang w:val="en-US" w:eastAsia="zh-CN" w:bidi="ar"/>
              </w:rPr>
              <w:t>单位</w:t>
            </w:r>
          </w:p>
        </w:tc>
      </w:tr>
      <w:tr w14:paraId="39D8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158CE6B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w:t>
            </w:r>
          </w:p>
        </w:tc>
        <w:tc>
          <w:tcPr>
            <w:tcW w:w="6370" w:type="dxa"/>
          </w:tcPr>
          <w:p w14:paraId="215C87C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临床医学院</w:t>
            </w:r>
          </w:p>
        </w:tc>
      </w:tr>
      <w:tr w14:paraId="2BD9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02CF3F8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2</w:t>
            </w:r>
          </w:p>
        </w:tc>
        <w:tc>
          <w:tcPr>
            <w:tcW w:w="6370" w:type="dxa"/>
            <w:shd w:val="clear" w:color="auto" w:fill="auto"/>
            <w:vAlign w:val="top"/>
          </w:tcPr>
          <w:p w14:paraId="4286DB1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公共卫生学院</w:t>
            </w:r>
          </w:p>
        </w:tc>
      </w:tr>
      <w:tr w14:paraId="59D6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06DEE65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3</w:t>
            </w:r>
          </w:p>
        </w:tc>
        <w:tc>
          <w:tcPr>
            <w:tcW w:w="6370" w:type="dxa"/>
            <w:shd w:val="clear" w:color="auto" w:fill="auto"/>
            <w:vAlign w:val="top"/>
          </w:tcPr>
          <w:p w14:paraId="360C8D2B">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精神卫生学院</w:t>
            </w:r>
          </w:p>
        </w:tc>
      </w:tr>
      <w:tr w14:paraId="5BEC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2C61CA1F">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4</w:t>
            </w:r>
          </w:p>
        </w:tc>
        <w:tc>
          <w:tcPr>
            <w:tcW w:w="6370" w:type="dxa"/>
            <w:shd w:val="clear" w:color="auto" w:fill="auto"/>
            <w:vAlign w:val="top"/>
          </w:tcPr>
          <w:p w14:paraId="317C773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护理学院</w:t>
            </w:r>
          </w:p>
        </w:tc>
      </w:tr>
      <w:tr w14:paraId="5432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1B1AFBE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5</w:t>
            </w:r>
          </w:p>
        </w:tc>
        <w:tc>
          <w:tcPr>
            <w:tcW w:w="6370" w:type="dxa"/>
            <w:shd w:val="clear" w:color="auto" w:fill="auto"/>
            <w:vAlign w:val="top"/>
          </w:tcPr>
          <w:p w14:paraId="1134867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药学院</w:t>
            </w:r>
          </w:p>
        </w:tc>
      </w:tr>
      <w:tr w14:paraId="4616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439B413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6</w:t>
            </w:r>
          </w:p>
        </w:tc>
        <w:tc>
          <w:tcPr>
            <w:tcW w:w="6370" w:type="dxa"/>
            <w:shd w:val="clear" w:color="auto" w:fill="auto"/>
            <w:vAlign w:val="top"/>
          </w:tcPr>
          <w:p w14:paraId="0A886E0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医学信息工程学院</w:t>
            </w:r>
          </w:p>
        </w:tc>
      </w:tr>
      <w:tr w14:paraId="7DA8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15EB088E">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7</w:t>
            </w:r>
          </w:p>
        </w:tc>
        <w:tc>
          <w:tcPr>
            <w:tcW w:w="6370" w:type="dxa"/>
            <w:shd w:val="clear" w:color="auto" w:fill="auto"/>
            <w:vAlign w:val="top"/>
          </w:tcPr>
          <w:p w14:paraId="441E7F7D">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管理学院</w:t>
            </w:r>
          </w:p>
        </w:tc>
      </w:tr>
      <w:tr w14:paraId="2DAE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78475CE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8</w:t>
            </w:r>
          </w:p>
        </w:tc>
        <w:tc>
          <w:tcPr>
            <w:tcW w:w="6370" w:type="dxa"/>
          </w:tcPr>
          <w:p w14:paraId="49CA946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医学影像与检验学院</w:t>
            </w:r>
          </w:p>
        </w:tc>
      </w:tr>
      <w:tr w14:paraId="7E98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14D61EF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9</w:t>
            </w:r>
          </w:p>
        </w:tc>
        <w:tc>
          <w:tcPr>
            <w:tcW w:w="6370" w:type="dxa"/>
          </w:tcPr>
          <w:p w14:paraId="30C47C8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法医学院</w:t>
            </w:r>
          </w:p>
        </w:tc>
      </w:tr>
      <w:tr w14:paraId="295D2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5776CC7B">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10</w:t>
            </w:r>
          </w:p>
        </w:tc>
        <w:tc>
          <w:tcPr>
            <w:tcW w:w="6370" w:type="dxa"/>
          </w:tcPr>
          <w:p w14:paraId="08F4089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口腔医学院</w:t>
            </w:r>
          </w:p>
        </w:tc>
      </w:tr>
      <w:tr w14:paraId="7FF6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2D3285D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11</w:t>
            </w:r>
          </w:p>
        </w:tc>
        <w:tc>
          <w:tcPr>
            <w:tcW w:w="6370" w:type="dxa"/>
          </w:tcPr>
          <w:p w14:paraId="75DB7AE2">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生命科学学院</w:t>
            </w:r>
          </w:p>
        </w:tc>
      </w:tr>
      <w:tr w14:paraId="597D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6D0A277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12</w:t>
            </w:r>
          </w:p>
        </w:tc>
        <w:tc>
          <w:tcPr>
            <w:tcW w:w="6370" w:type="dxa"/>
          </w:tcPr>
          <w:p w14:paraId="7FEFF88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外国语学院</w:t>
            </w:r>
          </w:p>
        </w:tc>
      </w:tr>
      <w:tr w14:paraId="3659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1F3E67FD">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13</w:t>
            </w:r>
          </w:p>
        </w:tc>
        <w:tc>
          <w:tcPr>
            <w:tcW w:w="6370" w:type="dxa"/>
          </w:tcPr>
          <w:p w14:paraId="26D1158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中西医结合学院</w:t>
            </w:r>
          </w:p>
        </w:tc>
      </w:tr>
      <w:tr w14:paraId="4AA0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73A6539A">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14</w:t>
            </w:r>
          </w:p>
        </w:tc>
        <w:tc>
          <w:tcPr>
            <w:tcW w:w="6370" w:type="dxa"/>
          </w:tcPr>
          <w:p w14:paraId="7FBC095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康复医学院</w:t>
            </w:r>
          </w:p>
        </w:tc>
      </w:tr>
      <w:tr w14:paraId="2534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589" w:type="dxa"/>
          </w:tcPr>
          <w:p w14:paraId="73F2F44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15</w:t>
            </w:r>
          </w:p>
        </w:tc>
        <w:tc>
          <w:tcPr>
            <w:tcW w:w="6370" w:type="dxa"/>
          </w:tcPr>
          <w:p w14:paraId="6376A07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医药工程学院</w:t>
            </w:r>
          </w:p>
        </w:tc>
      </w:tr>
      <w:tr w14:paraId="490D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589" w:type="dxa"/>
          </w:tcPr>
          <w:p w14:paraId="2CFC46D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16</w:t>
            </w:r>
          </w:p>
        </w:tc>
        <w:tc>
          <w:tcPr>
            <w:tcW w:w="6370" w:type="dxa"/>
          </w:tcPr>
          <w:p w14:paraId="6776112E">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附属医院</w:t>
            </w:r>
          </w:p>
        </w:tc>
      </w:tr>
    </w:tbl>
    <w:p w14:paraId="032F249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455D55CF">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727A63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
        </w:rPr>
      </w:pPr>
      <w:r>
        <w:rPr>
          <w:rFonts w:hint="eastAsia" w:ascii="方正小标宋简体" w:hAnsi="方正小标宋简体" w:eastAsia="方正小标宋简体" w:cs="方正小标宋简体"/>
          <w:color w:val="auto"/>
          <w:kern w:val="0"/>
          <w:sz w:val="44"/>
          <w:szCs w:val="44"/>
          <w:highlight w:val="none"/>
          <w:lang w:val="en-US" w:eastAsia="zh-CN" w:bidi="ar"/>
        </w:rPr>
        <w:t>述职评议人员名单</w:t>
      </w:r>
    </w:p>
    <w:p w14:paraId="3B4169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1379"/>
        <w:gridCol w:w="1694"/>
        <w:gridCol w:w="2469"/>
        <w:gridCol w:w="2469"/>
      </w:tblGrid>
      <w:tr w14:paraId="24FB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934" w:type="dxa"/>
          </w:tcPr>
          <w:p w14:paraId="7B732B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vertAlign w:val="baseline"/>
                <w:lang w:val="en-US" w:eastAsia="zh-CN"/>
              </w:rPr>
            </w:pPr>
          </w:p>
          <w:p w14:paraId="345AA3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序号</w:t>
            </w:r>
          </w:p>
        </w:tc>
        <w:tc>
          <w:tcPr>
            <w:tcW w:w="1379" w:type="dxa"/>
          </w:tcPr>
          <w:p w14:paraId="7D8DB6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vertAlign w:val="baseline"/>
                <w:lang w:val="en-US" w:eastAsia="zh-CN"/>
              </w:rPr>
            </w:pPr>
          </w:p>
          <w:p w14:paraId="69D27D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单位</w:t>
            </w:r>
          </w:p>
        </w:tc>
        <w:tc>
          <w:tcPr>
            <w:tcW w:w="1694" w:type="dxa"/>
          </w:tcPr>
          <w:p w14:paraId="254742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lang w:val="en-US" w:eastAsia="zh-CN" w:bidi="ar"/>
              </w:rPr>
            </w:pPr>
          </w:p>
          <w:p w14:paraId="70EB23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color w:val="auto"/>
                <w:kern w:val="0"/>
                <w:sz w:val="32"/>
                <w:szCs w:val="32"/>
                <w:highlight w:val="none"/>
                <w:lang w:val="en-US" w:eastAsia="zh-CN" w:bidi="ar"/>
              </w:rPr>
              <w:t>姓名</w:t>
            </w:r>
          </w:p>
        </w:tc>
        <w:tc>
          <w:tcPr>
            <w:tcW w:w="2469" w:type="dxa"/>
            <w:vAlign w:val="center"/>
          </w:tcPr>
          <w:p w14:paraId="281279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职务</w:t>
            </w:r>
          </w:p>
        </w:tc>
        <w:tc>
          <w:tcPr>
            <w:tcW w:w="2469" w:type="dxa"/>
          </w:tcPr>
          <w:p w14:paraId="6A3EC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lang w:val="en-US" w:eastAsia="zh-CN" w:bidi="ar"/>
              </w:rPr>
            </w:pPr>
          </w:p>
          <w:p w14:paraId="4CA759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lang w:val="en-US" w:eastAsia="zh-CN" w:bidi="ar"/>
              </w:rPr>
            </w:pPr>
            <w:r>
              <w:rPr>
                <w:rFonts w:hint="eastAsia" w:ascii="仿宋_GB2312" w:hAnsi="仿宋_GB2312" w:eastAsia="仿宋_GB2312" w:cs="仿宋_GB2312"/>
                <w:b/>
                <w:bCs/>
                <w:sz w:val="32"/>
                <w:szCs w:val="32"/>
                <w:vertAlign w:val="baseline"/>
                <w:lang w:val="en-US" w:eastAsia="zh-CN"/>
              </w:rPr>
              <w:t>联系方式</w:t>
            </w:r>
          </w:p>
        </w:tc>
      </w:tr>
      <w:tr w14:paraId="6E3A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934" w:type="dxa"/>
          </w:tcPr>
          <w:p w14:paraId="339D38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1379" w:type="dxa"/>
          </w:tcPr>
          <w:p w14:paraId="7BBE56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p w14:paraId="1D83D2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p w14:paraId="1C4241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1694" w:type="dxa"/>
          </w:tcPr>
          <w:p w14:paraId="0AC9CA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2469" w:type="dxa"/>
          </w:tcPr>
          <w:p w14:paraId="6AF198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2469" w:type="dxa"/>
          </w:tcPr>
          <w:p w14:paraId="703FB3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r>
    </w:tbl>
    <w:p w14:paraId="6854BFC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55E67E4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0D975F3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3E668CB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13E8B62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4A59CA1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0103E29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7B6465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5C0D21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3CEA0F9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66888C6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46856D7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52D3B73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21B6E4F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05C4F8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0AA89B7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446CFA8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0FF542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重点工作考核细则</w:t>
      </w:r>
    </w:p>
    <w:p w14:paraId="5F32B2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p>
    <w:p w14:paraId="40660F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highlight w:val="none"/>
          <w:shd w:val="clear"/>
          <w:lang w:val="en-US" w:eastAsia="zh-CN"/>
        </w:rPr>
      </w:pPr>
      <w:r>
        <w:rPr>
          <w:rFonts w:hint="eastAsia" w:ascii="仿宋_GB2312" w:hAnsi="仿宋_GB2312" w:eastAsia="仿宋_GB2312" w:cs="仿宋_GB2312"/>
          <w:b w:val="0"/>
          <w:bCs w:val="0"/>
          <w:i w:val="0"/>
          <w:iCs w:val="0"/>
          <w:caps w:val="0"/>
          <w:color w:val="auto"/>
          <w:spacing w:val="0"/>
          <w:sz w:val="32"/>
          <w:szCs w:val="32"/>
          <w:highlight w:val="none"/>
          <w:shd w:val="clear"/>
          <w:lang w:val="en-US" w:eastAsia="zh-CN"/>
        </w:rPr>
        <w:t>本细则用于量化评价各院系级团组织书记年度履职实绩，总分100分。具体考核内容及分值如下：</w:t>
      </w:r>
    </w:p>
    <w:p w14:paraId="785E5D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t>一、思想政治引领方面（25分）</w:t>
      </w:r>
    </w:p>
    <w:p w14:paraId="52E7ED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学习党的科学理论特别是习近平新时代中国特色社会主义思想，学习习近平总书记系列重要讲话精神和党的二十大和二十届二中、三中、四中全会精神等情况；加强团员政治教育和政治训练，面向团员青年开展党史学习教育、理想信念教育、爱国主义教育、道德品行教育、法纪教育情况；开展团内集中教育情况；教育引导团员青年营造清朗网络空间情况等。</w:t>
      </w:r>
    </w:p>
    <w:p w14:paraId="5DC6C2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t>二、团的基层建设方面（25分）</w:t>
      </w:r>
    </w:p>
    <w:p w14:paraId="08CFDA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加强团组织自身建设情况；规范发展团员情况、新发展团员智慧团建录入情况；加强团员日常教育管理，转接组织关系和流动团员联系情况，团员核查及团员档案建设情况；团费收缴管理情况；“三会两制一课”、主题团日等组织生活落实情况；团员先进性评价、对标定级、团内激励情况；加强党建带团建，推优入党制度落实情况；全面从严治团和团干部队伍建设，团学改革情况等。</w:t>
      </w:r>
    </w:p>
    <w:p w14:paraId="3B6087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t>三、联系服务青年方面（20分）</w:t>
      </w:r>
    </w:p>
    <w:p w14:paraId="58E44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代表团员青年向党组织和有关方面反映青年利益诉求和推动落实情况；结合团员青年在学习、工作、生活中的现实需求开展服务和活动情况；整合资源帮扶团员青年特别是困难团员青年情况；团员青年对团组织的获得感等。</w:t>
      </w:r>
    </w:p>
    <w:p w14:paraId="0557BB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3"/>
          <w:rFonts w:hint="default" w:ascii="黑体" w:hAnsi="黑体" w:eastAsia="黑体" w:cs="黑体"/>
          <w:b w:val="0"/>
          <w:bCs w:val="0"/>
          <w:i w:val="0"/>
          <w:iCs w:val="0"/>
          <w:caps w:val="0"/>
          <w:color w:val="auto"/>
          <w:spacing w:val="0"/>
          <w:sz w:val="32"/>
          <w:szCs w:val="32"/>
          <w:highlight w:val="none"/>
          <w:shd w:val="clear" w:fill="FFFFFF"/>
          <w:lang w:val="en-US" w:eastAsia="zh-CN"/>
        </w:rPr>
      </w:pPr>
      <w:r>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t>四、提升大局贡献度方面（20分）</w:t>
      </w:r>
    </w:p>
    <w:p w14:paraId="6915B2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青年围绕本单位中心任务和“急难险重新”工作，开展岗位建功、创先争优，发挥生力军和突击队作用情况；组织团员青年开展社会实践、志愿服务、创新创业、校园文化等情况；选育优秀青年榜样情况；党组织对团组织的工作评价情况等。</w:t>
      </w:r>
    </w:p>
    <w:p w14:paraId="7C7106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3"/>
          <w:rFonts w:hint="eastAsia" w:ascii="黑体" w:hAnsi="黑体" w:eastAsia="黑体" w:cs="黑体"/>
          <w:b w:val="0"/>
          <w:bCs w:val="0"/>
          <w:i w:val="0"/>
          <w:iCs w:val="0"/>
          <w:caps w:val="0"/>
          <w:color w:val="auto"/>
          <w:spacing w:val="0"/>
          <w:sz w:val="32"/>
          <w:szCs w:val="32"/>
          <w:highlight w:val="none"/>
          <w:shd w:val="clear" w:fill="FFFFFF"/>
          <w:lang w:val="en-US" w:eastAsia="zh-CN"/>
        </w:rPr>
        <w:t>五、其他方面（10分）</w:t>
      </w:r>
    </w:p>
    <w:p w14:paraId="5B28BA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在年度工作中，开展的具有探索性、创新性、示范性、引领性的工作介绍，团学理论工作研究成果介绍，未来工作思考和着力点，获得团学系统荣誉等。</w:t>
      </w:r>
    </w:p>
    <w:p w14:paraId="55FB66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eastAsia="zh-CN"/>
        </w:rPr>
      </w:pPr>
    </w:p>
    <w:p w14:paraId="0FB24C31">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1E399CB">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20A508FE">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4148FC14">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43BC1028">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1FDEEA5F">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3E57DA7A">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7675A31">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342FBDD6">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3822FBFF">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52DAA994">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79E4B0D9">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E3502A4">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C2B577E">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方正黑体_GBK" w:hAnsi="方正黑体_GBK" w:eastAsia="方正黑体_GBK" w:cs="方正黑体_GBK"/>
          <w:sz w:val="32"/>
          <w:szCs w:val="20"/>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w:t>
      </w:r>
    </w:p>
    <w:p w14:paraId="626011D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***学院</w:t>
      </w:r>
    </w:p>
    <w:p w14:paraId="49DDB01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2025年度院系级团组织书记述职报告</w:t>
      </w:r>
    </w:p>
    <w:p w14:paraId="73D768D9">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（模板）</w:t>
      </w:r>
    </w:p>
    <w:p w14:paraId="631A0551">
      <w:pPr>
        <w:keepNext w:val="0"/>
        <w:keepLines w:val="0"/>
        <w:pageBreakBefore w:val="0"/>
        <w:widowControl w:val="0"/>
        <w:kinsoku/>
        <w:wordWrap/>
        <w:overflowPunct/>
        <w:topLinePunct w:val="0"/>
        <w:autoSpaceDE/>
        <w:autoSpaceDN/>
        <w:bidi w:val="0"/>
        <w:adjustRightInd/>
        <w:snapToGrid/>
        <w:spacing w:before="0" w:after="0" w:line="560" w:lineRule="exact"/>
        <w:ind w:right="0" w:rightChars="0"/>
        <w:jc w:val="center"/>
        <w:textAlignment w:val="auto"/>
        <w:outlineLvl w:val="9"/>
        <w:rPr>
          <w:rFonts w:hint="eastAsia" w:ascii="仿宋_GB2312" w:hAnsi="仿宋_GB2312" w:eastAsia="仿宋_GB2312" w:cs="仿宋_GB2312"/>
          <w:sz w:val="32"/>
          <w:szCs w:val="20"/>
          <w:lang w:val="en-US" w:eastAsia="zh-CN"/>
        </w:rPr>
      </w:pPr>
      <w:r>
        <w:rPr>
          <w:rFonts w:hint="eastAsia" w:ascii="仿宋_GB2312" w:hAnsi="仿宋_GB2312" w:eastAsia="仿宋_GB2312" w:cs="仿宋_GB2312"/>
          <w:sz w:val="32"/>
          <w:szCs w:val="20"/>
          <w:lang w:val="en-US" w:eastAsia="zh-CN"/>
        </w:rPr>
        <w:t>（职务  姓名）</w:t>
      </w:r>
    </w:p>
    <w:p w14:paraId="7ACF4324">
      <w:pPr>
        <w:keepNext w:val="0"/>
        <w:keepLines w:val="0"/>
        <w:pageBreakBefore w:val="0"/>
        <w:widowControl w:val="0"/>
        <w:kinsoku/>
        <w:wordWrap/>
        <w:overflowPunct/>
        <w:topLinePunct w:val="0"/>
        <w:autoSpaceDE/>
        <w:autoSpaceDN/>
        <w:bidi w:val="0"/>
        <w:adjustRightInd/>
        <w:snapToGrid/>
        <w:spacing w:before="0" w:after="0" w:line="560" w:lineRule="exact"/>
        <w:ind w:right="0" w:rightChars="0"/>
        <w:jc w:val="center"/>
        <w:textAlignment w:val="auto"/>
        <w:outlineLvl w:val="9"/>
        <w:rPr>
          <w:rFonts w:hint="eastAsia" w:ascii="仿宋_GB2312" w:hAnsi="仿宋_GB2312" w:eastAsia="仿宋_GB2312" w:cs="仿宋_GB2312"/>
          <w:b w:val="0"/>
          <w:bCs w:val="0"/>
          <w:sz w:val="32"/>
          <w:szCs w:val="20"/>
          <w:lang w:val="en-US" w:eastAsia="zh-CN"/>
        </w:rPr>
      </w:pPr>
    </w:p>
    <w:p w14:paraId="26F32C2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根据述职评议工作安排，现将本人2025年度履职情况报告如下：</w:t>
      </w:r>
    </w:p>
    <w:p w14:paraId="0B4CE37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lang w:val="en-US" w:eastAsia="zh-CN"/>
        </w:rPr>
        <w:t>上年度问题整改落实情况</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rPr>
        <w:t>）</w:t>
      </w:r>
    </w:p>
    <w:p w14:paraId="49EBFC9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针对2024年度述职评议反馈的XX、XX等问题，本年度主要采取了以下整改措施：</w:t>
      </w:r>
    </w:p>
    <w:p w14:paraId="5780627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w:t>
      </w:r>
    </w:p>
    <w:p w14:paraId="41535DB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w:t>
      </w:r>
    </w:p>
    <w:p w14:paraId="4A4F1FC8">
      <w:pPr>
        <w:keepNext w:val="0"/>
        <w:keepLines w:val="0"/>
        <w:pageBreakBefore w:val="0"/>
        <w:widowControl w:val="0"/>
        <w:numPr>
          <w:ilvl w:val="-1"/>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目前，相关问题已（取得阶段性成效/整改到位）。</w:t>
      </w:r>
    </w:p>
    <w:p w14:paraId="3107A43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二、2025年度主要工作及成效</w:t>
      </w:r>
      <w:r>
        <w:rPr>
          <w:rFonts w:hint="eastAsia" w:ascii="黑体" w:hAnsi="黑体" w:eastAsia="黑体" w:cs="黑体"/>
          <w:b w:val="0"/>
          <w:bCs w:val="0"/>
          <w:sz w:val="32"/>
          <w:szCs w:val="32"/>
        </w:rPr>
        <w:t>（1</w:t>
      </w:r>
      <w:r>
        <w:rPr>
          <w:rFonts w:hint="eastAsia" w:ascii="黑体" w:hAnsi="黑体" w:eastAsia="黑体" w:cs="黑体"/>
          <w:b w:val="0"/>
          <w:bCs w:val="0"/>
          <w:sz w:val="32"/>
          <w:szCs w:val="32"/>
          <w:lang w:val="en-US" w:eastAsia="zh-CN"/>
        </w:rPr>
        <w:t>0</w:t>
      </w:r>
      <w:r>
        <w:rPr>
          <w:rFonts w:hint="eastAsia" w:ascii="黑体" w:hAnsi="黑体" w:eastAsia="黑体" w:cs="黑体"/>
          <w:b w:val="0"/>
          <w:bCs w:val="0"/>
          <w:sz w:val="32"/>
          <w:szCs w:val="32"/>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rPr>
        <w:t>）</w:t>
      </w:r>
    </w:p>
    <w:p w14:paraId="0D74611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围绕学校共青团年度重点任务，聚焦主责主业，重点汇报以下方面：</w:t>
      </w:r>
    </w:p>
    <w:p w14:paraId="5828041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（一）思想政治引领方面</w:t>
      </w:r>
    </w:p>
    <w:p w14:paraId="75D56AB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p>
    <w:p w14:paraId="7DB9BBE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p>
    <w:p w14:paraId="18245F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（二）团的基层建设方面</w:t>
      </w:r>
    </w:p>
    <w:p w14:paraId="33F29D6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（三）联系服务青年方面</w:t>
      </w:r>
    </w:p>
    <w:p w14:paraId="2DB3BB4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（四）提升大局贡献度方面</w:t>
      </w:r>
    </w:p>
    <w:p w14:paraId="0AC478F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（五）其他方面</w:t>
      </w:r>
    </w:p>
    <w:p w14:paraId="7389398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lang w:eastAsia="zh-CN"/>
        </w:rPr>
        <w:t>、存在的主要问题及原因</w:t>
      </w:r>
      <w:r>
        <w:rPr>
          <w:rFonts w:hint="eastAsia" w:ascii="黑体" w:hAnsi="黑体" w:eastAsia="黑体" w:cs="黑体"/>
          <w:b w:val="0"/>
          <w:bCs w:val="0"/>
          <w:sz w:val="32"/>
          <w:szCs w:val="32"/>
          <w:lang w:val="en-US" w:eastAsia="zh-CN"/>
        </w:rPr>
        <w:t>分析</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3</w:t>
      </w:r>
      <w:r>
        <w:rPr>
          <w:rFonts w:hint="eastAsia" w:ascii="黑体" w:hAnsi="黑体" w:eastAsia="黑体" w:cs="黑体"/>
          <w:b w:val="0"/>
          <w:bCs w:val="0"/>
          <w:sz w:val="32"/>
          <w:szCs w:val="32"/>
          <w:lang w:eastAsia="zh-CN"/>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lang w:eastAsia="zh-CN"/>
        </w:rPr>
        <w:t>）</w:t>
      </w:r>
    </w:p>
    <w:p w14:paraId="6E5B357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（一）存在的主要问题</w:t>
      </w:r>
    </w:p>
    <w:p w14:paraId="6CFA8BB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p>
    <w:p w14:paraId="06261CA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p>
    <w:p w14:paraId="53B93F4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（二）原因分析</w:t>
      </w:r>
    </w:p>
    <w:p w14:paraId="0E6E0DE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产生上述问题，主要源于以下几个方面：</w:t>
      </w:r>
    </w:p>
    <w:p w14:paraId="09D736E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一是……；二是……；三是……。</w:t>
      </w:r>
    </w:p>
    <w:p w14:paraId="721D9E3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2026年工作思路与主要举措</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5</w:t>
      </w:r>
      <w:r>
        <w:rPr>
          <w:rFonts w:hint="eastAsia" w:ascii="黑体" w:hAnsi="黑体" w:eastAsia="黑体" w:cs="黑体"/>
          <w:b w:val="0"/>
          <w:bCs w:val="0"/>
          <w:sz w:val="32"/>
          <w:szCs w:val="32"/>
          <w:lang w:eastAsia="zh-CN"/>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lang w:eastAsia="zh-CN"/>
        </w:rPr>
        <w:t>）</w:t>
      </w:r>
    </w:p>
    <w:p w14:paraId="1D2C4B24">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Chars="200" w:right="0" w:rightChars="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（一）总体目标</w:t>
      </w:r>
    </w:p>
    <w:p w14:paraId="35F9EFB0">
      <w:pPr>
        <w:pStyle w:val="8"/>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420" w:leftChars="200" w:right="0" w:firstLine="320" w:firstLineChars="100"/>
        <w:rPr>
          <w:rStyle w:val="13"/>
          <w:rFonts w:hint="eastAsia" w:ascii="楷体_GB2312" w:hAnsi="楷体_GB2312" w:eastAsia="楷体_GB2312" w:cs="楷体_GB2312"/>
          <w:b w:val="0"/>
          <w:bCs w:val="0"/>
          <w:i w:val="0"/>
          <w:iCs w:val="0"/>
          <w:caps w:val="0"/>
          <w:color w:val="333333"/>
          <w:spacing w:val="0"/>
          <w:kern w:val="2"/>
          <w:sz w:val="32"/>
          <w:szCs w:val="32"/>
          <w:shd w:val="clear" w:fill="FFFFFF"/>
          <w:lang w:bidi="ar-SA"/>
        </w:rPr>
      </w:pPr>
      <w:r>
        <w:rPr>
          <w:rStyle w:val="13"/>
          <w:rFonts w:hint="eastAsia" w:ascii="楷体_GB2312" w:hAnsi="楷体_GB2312" w:eastAsia="楷体_GB2312" w:cs="楷体_GB2312"/>
          <w:b w:val="0"/>
          <w:bCs w:val="0"/>
          <w:i w:val="0"/>
          <w:iCs w:val="0"/>
          <w:caps w:val="0"/>
          <w:color w:val="333333"/>
          <w:spacing w:val="0"/>
          <w:kern w:val="2"/>
          <w:sz w:val="32"/>
          <w:szCs w:val="32"/>
          <w:shd w:val="clear" w:fill="FFFFFF"/>
          <w:lang w:bidi="ar-SA"/>
        </w:rPr>
        <w:t>……</w:t>
      </w:r>
    </w:p>
    <w:p w14:paraId="2EC4FBC1">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Chars="200" w:right="0" w:rightChars="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（二）主要举措</w:t>
      </w:r>
    </w:p>
    <w:p w14:paraId="638FCCF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p>
    <w:p w14:paraId="55C1246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p>
    <w:p w14:paraId="2441BBD7">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Style w:val="13"/>
          <w:rFonts w:hint="eastAsia" w:ascii="楷体_GB2312" w:hAnsi="楷体_GB2312" w:eastAsia="楷体_GB2312" w:cs="楷体_GB2312"/>
          <w:b w:val="0"/>
          <w:bCs w:val="0"/>
          <w:color w:val="333333"/>
          <w:sz w:val="32"/>
          <w:szCs w:val="32"/>
          <w:shd w:val="clear" w:fill="FFFFFF"/>
        </w:rPr>
      </w:pPr>
    </w:p>
    <w:p w14:paraId="0FE8956E">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textAlignment w:val="auto"/>
        <w:rPr>
          <w:rFonts w:hint="eastAsia" w:ascii="黑体" w:hAnsi="黑体" w:eastAsia="黑体" w:cs="黑体"/>
          <w:b w:val="0"/>
          <w:bCs w:val="0"/>
          <w:sz w:val="32"/>
          <w:szCs w:val="32"/>
        </w:rPr>
      </w:pPr>
    </w:p>
    <w:p w14:paraId="61A79C9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p>
    <w:p w14:paraId="3A77FD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撰写要求：</w:t>
      </w:r>
    </w:p>
    <w:p w14:paraId="65754B5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1.内容真实，数据翔实。履职情况应实事求是，总结成绩避免空泛，尽量使用具体数据、案例支撑。</w:t>
      </w:r>
    </w:p>
    <w:p w14:paraId="21DC8CF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2.问题精准，剖析深刻。查摆问题要聚焦基层团建和自身履职的薄弱环节，先列问题，再析原因，避免避重就轻。</w:t>
      </w:r>
    </w:p>
    <w:p w14:paraId="52022BA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3.思路清晰，举措可行。下步工作打算要针对存在问题，目标明确，措施具体，具有可操作性和实效性。</w:t>
      </w:r>
    </w:p>
    <w:p w14:paraId="3E98A5EC">
      <w:pPr>
        <w:keepNext w:val="0"/>
        <w:keepLines w:val="0"/>
        <w:widowControl w:val="0"/>
        <w:numPr>
          <w:ilvl w:val="-1"/>
          <w:numId w:val="0"/>
        </w:numPr>
        <w:suppressLineNumbers w:val="0"/>
        <w:adjustRightInd w:val="0"/>
        <w:snapToGrid w:val="0"/>
        <w:spacing w:before="0" w:beforeAutospacing="0" w:after="0" w:afterAutospacing="0" w:line="560" w:lineRule="exact"/>
        <w:ind w:left="0" w:firstLine="640" w:firstLineChars="200"/>
        <w:rPr>
          <w:rFonts w:hint="eastAsia" w:ascii="仿宋_GB2312" w:hAnsi="仿宋_GB2312" w:eastAsia="仿宋_GB2312" w:cs="仿宋_GB2312"/>
          <w:color w:val="595959"/>
          <w:sz w:val="32"/>
          <w:szCs w:val="32"/>
          <w:shd w:val="clear" w:fill="FFFFFF"/>
        </w:rPr>
      </w:pPr>
    </w:p>
    <w:p w14:paraId="60287760">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sectPr>
          <w:footerReference r:id="rId3" w:type="default"/>
          <w:pgSz w:w="11906" w:h="16838"/>
          <w:pgMar w:top="1361" w:right="1587" w:bottom="1361" w:left="1587" w:header="851" w:footer="992" w:gutter="0"/>
          <w:pgNumType w:fmt="decimal"/>
          <w:cols w:space="425" w:num="1"/>
          <w:docGrid w:type="lines" w:linePitch="312" w:charSpace="0"/>
        </w:sectPr>
      </w:pPr>
    </w:p>
    <w:p w14:paraId="1C1E598F">
      <w:pPr>
        <w:spacing w:line="460" w:lineRule="exact"/>
        <w:jc w:val="both"/>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附件5</w:t>
      </w:r>
    </w:p>
    <w:p w14:paraId="088B66CE">
      <w:pPr>
        <w:spacing w:line="460" w:lineRule="exact"/>
        <w:jc w:val="center"/>
        <w:rPr>
          <w:rFonts w:hint="default"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sz w:val="44"/>
          <w:szCs w:val="44"/>
          <w:lang w:val="en-US" w:eastAsia="zh-CN"/>
        </w:rPr>
        <w:t>现场汇报评分标准表</w:t>
      </w:r>
    </w:p>
    <w:p w14:paraId="2EB46C01">
      <w:pPr>
        <w:spacing w:line="460" w:lineRule="exact"/>
        <w:jc w:val="both"/>
        <w:rPr>
          <w:rFonts w:hint="default" w:ascii="黑体" w:hAnsi="黑体" w:eastAsia="黑体" w:cs="黑体"/>
          <w:color w:val="000000"/>
          <w:sz w:val="32"/>
          <w:szCs w:val="32"/>
          <w:lang w:val="en-US" w:eastAsia="zh-CN"/>
        </w:rPr>
      </w:pPr>
    </w:p>
    <w:tbl>
      <w:tblPr>
        <w:tblStyle w:val="11"/>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5481"/>
        <w:gridCol w:w="1665"/>
      </w:tblGrid>
      <w:tr w14:paraId="3FC2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trPr>
        <w:tc>
          <w:tcPr>
            <w:tcW w:w="1853" w:type="dxa"/>
            <w:vAlign w:val="center"/>
          </w:tcPr>
          <w:p w14:paraId="5378ADCB">
            <w:pPr>
              <w:spacing w:line="460" w:lineRule="exact"/>
              <w:jc w:val="center"/>
              <w:rPr>
                <w:rFonts w:hint="default"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项目</w:t>
            </w:r>
          </w:p>
        </w:tc>
        <w:tc>
          <w:tcPr>
            <w:tcW w:w="5481" w:type="dxa"/>
            <w:vAlign w:val="center"/>
          </w:tcPr>
          <w:p w14:paraId="4F3E6E7E">
            <w:pPr>
              <w:spacing w:line="460" w:lineRule="exact"/>
              <w:jc w:val="center"/>
              <w:rPr>
                <w:rFonts w:hint="eastAsia"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内容</w:t>
            </w:r>
          </w:p>
        </w:tc>
        <w:tc>
          <w:tcPr>
            <w:tcW w:w="1665" w:type="dxa"/>
            <w:vAlign w:val="center"/>
          </w:tcPr>
          <w:p w14:paraId="6AC02854">
            <w:pPr>
              <w:spacing w:line="460" w:lineRule="exact"/>
              <w:jc w:val="center"/>
              <w:rPr>
                <w:rFonts w:hint="eastAsia"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分值</w:t>
            </w:r>
          </w:p>
        </w:tc>
      </w:tr>
      <w:tr w14:paraId="48E3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exact"/>
        </w:trPr>
        <w:tc>
          <w:tcPr>
            <w:tcW w:w="1853" w:type="dxa"/>
            <w:vMerge w:val="restart"/>
            <w:vAlign w:val="center"/>
          </w:tcPr>
          <w:p w14:paraId="250966E4">
            <w:pPr>
              <w:spacing w:line="460" w:lineRule="exact"/>
              <w:jc w:val="center"/>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内容陈述</w:t>
            </w:r>
          </w:p>
          <w:p w14:paraId="15ADC002">
            <w:pPr>
              <w:spacing w:line="460" w:lineRule="exact"/>
              <w:jc w:val="center"/>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（70分）</w:t>
            </w:r>
          </w:p>
        </w:tc>
        <w:tc>
          <w:tcPr>
            <w:tcW w:w="5481" w:type="dxa"/>
            <w:vAlign w:val="center"/>
          </w:tcPr>
          <w:p w14:paraId="54AB1AE5">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1.重点突出，实效显著。紧扣年度共青团重点工作，展示的工作实绩具体、数据详实，特色亮点鲜明。</w:t>
            </w:r>
          </w:p>
        </w:tc>
        <w:tc>
          <w:tcPr>
            <w:tcW w:w="1665" w:type="dxa"/>
            <w:vAlign w:val="center"/>
          </w:tcPr>
          <w:p w14:paraId="241C32B4">
            <w:pPr>
              <w:spacing w:line="460" w:lineRule="exact"/>
              <w:ind w:firstLine="320" w:firstLineChars="100"/>
              <w:jc w:val="left"/>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40分</w:t>
            </w:r>
          </w:p>
        </w:tc>
      </w:tr>
      <w:tr w14:paraId="44C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exact"/>
        </w:trPr>
        <w:tc>
          <w:tcPr>
            <w:tcW w:w="1853" w:type="dxa"/>
            <w:vMerge w:val="continue"/>
            <w:vAlign w:val="center"/>
          </w:tcPr>
          <w:p w14:paraId="36DAF668">
            <w:pPr>
              <w:spacing w:line="460" w:lineRule="exact"/>
              <w:jc w:val="center"/>
              <w:rPr>
                <w:rFonts w:hint="eastAsia" w:ascii="仿宋_GB2312" w:hAnsi="仿宋_GB2312" w:eastAsia="仿宋_GB2312" w:cs="仿宋_GB2312"/>
                <w:color w:val="000000"/>
                <w:sz w:val="32"/>
                <w:szCs w:val="32"/>
                <w:vertAlign w:val="baseline"/>
                <w:lang w:val="en-US" w:eastAsia="zh-CN"/>
              </w:rPr>
            </w:pPr>
          </w:p>
        </w:tc>
        <w:tc>
          <w:tcPr>
            <w:tcW w:w="5481" w:type="dxa"/>
            <w:vAlign w:val="center"/>
          </w:tcPr>
          <w:p w14:paraId="59CE5ACF">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default" w:ascii="仿宋_GB2312" w:hAnsi="仿宋_GB2312" w:eastAsia="仿宋_GB2312" w:cs="仿宋_GB2312"/>
                <w:color w:val="000000"/>
                <w:sz w:val="32"/>
                <w:szCs w:val="32"/>
                <w:vertAlign w:val="baseline"/>
                <w:lang w:val="en-US" w:eastAsia="zh-CN"/>
              </w:rPr>
              <w:t>2.问题精准，剖析深入</w:t>
            </w:r>
            <w:r>
              <w:rPr>
                <w:rFonts w:hint="eastAsia" w:ascii="仿宋_GB2312" w:hAnsi="仿宋_GB2312" w:eastAsia="仿宋_GB2312" w:cs="仿宋_GB2312"/>
                <w:color w:val="000000"/>
                <w:sz w:val="32"/>
                <w:szCs w:val="32"/>
                <w:vertAlign w:val="baseline"/>
                <w:lang w:val="en-US" w:eastAsia="zh-CN"/>
              </w:rPr>
              <w:t>。</w:t>
            </w:r>
            <w:r>
              <w:rPr>
                <w:rFonts w:hint="default" w:ascii="仿宋_GB2312" w:hAnsi="仿宋_GB2312" w:eastAsia="仿宋_GB2312" w:cs="仿宋_GB2312"/>
                <w:color w:val="000000"/>
                <w:sz w:val="32"/>
                <w:szCs w:val="32"/>
                <w:vertAlign w:val="baseline"/>
                <w:lang w:val="en-US" w:eastAsia="zh-CN"/>
              </w:rPr>
              <w:t>对存在的问题认识清楚，分析透彻，不回避矛盾。</w:t>
            </w:r>
          </w:p>
        </w:tc>
        <w:tc>
          <w:tcPr>
            <w:tcW w:w="1665" w:type="dxa"/>
            <w:vAlign w:val="center"/>
          </w:tcPr>
          <w:p w14:paraId="407BB48F">
            <w:pPr>
              <w:spacing w:line="460" w:lineRule="exact"/>
              <w:ind w:firstLine="320" w:firstLineChars="100"/>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7A9D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exact"/>
        </w:trPr>
        <w:tc>
          <w:tcPr>
            <w:tcW w:w="1853" w:type="dxa"/>
            <w:vMerge w:val="continue"/>
            <w:vAlign w:val="center"/>
          </w:tcPr>
          <w:p w14:paraId="0D1C23D2">
            <w:pPr>
              <w:spacing w:line="460" w:lineRule="exact"/>
              <w:jc w:val="center"/>
              <w:rPr>
                <w:rFonts w:hint="eastAsia" w:ascii="仿宋_GB2312" w:hAnsi="仿宋_GB2312" w:eastAsia="仿宋_GB2312" w:cs="仿宋_GB2312"/>
                <w:color w:val="000000"/>
                <w:sz w:val="32"/>
                <w:szCs w:val="32"/>
                <w:vertAlign w:val="baseline"/>
                <w:lang w:val="en-US" w:eastAsia="zh-CN"/>
              </w:rPr>
            </w:pPr>
          </w:p>
        </w:tc>
        <w:tc>
          <w:tcPr>
            <w:tcW w:w="5481" w:type="dxa"/>
            <w:vAlign w:val="center"/>
          </w:tcPr>
          <w:p w14:paraId="2EA23E29">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default" w:ascii="仿宋_GB2312" w:hAnsi="仿宋_GB2312" w:eastAsia="仿宋_GB2312" w:cs="仿宋_GB2312"/>
                <w:color w:val="000000"/>
                <w:sz w:val="32"/>
                <w:szCs w:val="32"/>
                <w:vertAlign w:val="baseline"/>
                <w:lang w:val="en-US" w:eastAsia="zh-CN"/>
              </w:rPr>
              <w:t>3.思路清晰，举措可行</w:t>
            </w:r>
            <w:r>
              <w:rPr>
                <w:rFonts w:hint="eastAsia" w:ascii="仿宋_GB2312" w:hAnsi="仿宋_GB2312" w:eastAsia="仿宋_GB2312" w:cs="仿宋_GB2312"/>
                <w:color w:val="000000"/>
                <w:sz w:val="32"/>
                <w:szCs w:val="32"/>
                <w:vertAlign w:val="baseline"/>
                <w:lang w:val="en-US" w:eastAsia="zh-CN"/>
              </w:rPr>
              <w:t>。</w:t>
            </w:r>
            <w:r>
              <w:rPr>
                <w:rFonts w:hint="default" w:ascii="仿宋_GB2312" w:hAnsi="仿宋_GB2312" w:eastAsia="仿宋_GB2312" w:cs="仿宋_GB2312"/>
                <w:color w:val="000000"/>
                <w:sz w:val="32"/>
                <w:szCs w:val="32"/>
                <w:vertAlign w:val="baseline"/>
                <w:lang w:val="en-US" w:eastAsia="zh-CN"/>
              </w:rPr>
              <w:t>下一步工作目标明确，计划详实，措施具体、有针对性。</w:t>
            </w:r>
          </w:p>
        </w:tc>
        <w:tc>
          <w:tcPr>
            <w:tcW w:w="1665" w:type="dxa"/>
            <w:vAlign w:val="center"/>
          </w:tcPr>
          <w:p w14:paraId="71C32477">
            <w:pPr>
              <w:spacing w:line="460" w:lineRule="exact"/>
              <w:ind w:firstLine="320" w:firstLineChars="100"/>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2112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exact"/>
        </w:trPr>
        <w:tc>
          <w:tcPr>
            <w:tcW w:w="1853" w:type="dxa"/>
            <w:vMerge w:val="restart"/>
            <w:vAlign w:val="center"/>
          </w:tcPr>
          <w:p w14:paraId="53D56D5F">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现场表现（30分）</w:t>
            </w:r>
          </w:p>
        </w:tc>
        <w:tc>
          <w:tcPr>
            <w:tcW w:w="5481" w:type="dxa"/>
            <w:vAlign w:val="center"/>
          </w:tcPr>
          <w:p w14:paraId="762B0AC7">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4.表达流畅，驾驭力强。语言简洁流畅，表达准确，逻辑清晰，时间把控得当。</w:t>
            </w:r>
          </w:p>
        </w:tc>
        <w:tc>
          <w:tcPr>
            <w:tcW w:w="1665" w:type="dxa"/>
            <w:vAlign w:val="center"/>
          </w:tcPr>
          <w:p w14:paraId="0A79EFD6">
            <w:pPr>
              <w:spacing w:line="460" w:lineRule="exact"/>
              <w:ind w:firstLine="320" w:firstLineChars="100"/>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2C66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exact"/>
        </w:trPr>
        <w:tc>
          <w:tcPr>
            <w:tcW w:w="1853" w:type="dxa"/>
            <w:vMerge w:val="continue"/>
            <w:vAlign w:val="center"/>
          </w:tcPr>
          <w:p w14:paraId="1E9E530D">
            <w:pPr>
              <w:spacing w:line="460" w:lineRule="exact"/>
              <w:jc w:val="center"/>
              <w:rPr>
                <w:rFonts w:hint="default" w:ascii="仿宋_GB2312" w:hAnsi="仿宋_GB2312" w:eastAsia="仿宋_GB2312" w:cs="仿宋_GB2312"/>
                <w:color w:val="000000"/>
                <w:sz w:val="32"/>
                <w:szCs w:val="32"/>
                <w:vertAlign w:val="baseline"/>
                <w:lang w:val="en-US" w:eastAsia="zh-CN"/>
              </w:rPr>
            </w:pPr>
          </w:p>
        </w:tc>
        <w:tc>
          <w:tcPr>
            <w:tcW w:w="5481" w:type="dxa"/>
            <w:vAlign w:val="center"/>
          </w:tcPr>
          <w:p w14:paraId="7B4CA642">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5.形式规范，辅助得力。PPT内容排版得当，逻辑层次分明，能有效辅助陈述，突出重点。</w:t>
            </w:r>
          </w:p>
        </w:tc>
        <w:tc>
          <w:tcPr>
            <w:tcW w:w="1665" w:type="dxa"/>
            <w:vAlign w:val="center"/>
          </w:tcPr>
          <w:p w14:paraId="42718A61">
            <w:pPr>
              <w:spacing w:line="460" w:lineRule="exact"/>
              <w:ind w:firstLine="320" w:firstLineChars="100"/>
              <w:jc w:val="left"/>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10分</w:t>
            </w:r>
          </w:p>
        </w:tc>
      </w:tr>
      <w:tr w14:paraId="0A5F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exact"/>
        </w:trPr>
        <w:tc>
          <w:tcPr>
            <w:tcW w:w="1853" w:type="dxa"/>
            <w:vMerge w:val="continue"/>
            <w:vAlign w:val="center"/>
          </w:tcPr>
          <w:p w14:paraId="77B8C611">
            <w:pPr>
              <w:spacing w:line="460" w:lineRule="exact"/>
              <w:jc w:val="center"/>
              <w:rPr>
                <w:rFonts w:hint="eastAsia" w:ascii="仿宋_GB2312" w:hAnsi="仿宋_GB2312" w:eastAsia="仿宋_GB2312" w:cs="仿宋_GB2312"/>
                <w:color w:val="000000"/>
                <w:sz w:val="32"/>
                <w:szCs w:val="32"/>
                <w:vertAlign w:val="baseline"/>
                <w:lang w:val="en-US" w:eastAsia="zh-CN"/>
              </w:rPr>
            </w:pPr>
          </w:p>
        </w:tc>
        <w:tc>
          <w:tcPr>
            <w:tcW w:w="5481" w:type="dxa"/>
            <w:vAlign w:val="center"/>
          </w:tcPr>
          <w:p w14:paraId="13EA92F9">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6.精神饱满，举止得体。着装规范，精神面貌好，举止大方自然。</w:t>
            </w:r>
          </w:p>
        </w:tc>
        <w:tc>
          <w:tcPr>
            <w:tcW w:w="1665" w:type="dxa"/>
            <w:vAlign w:val="center"/>
          </w:tcPr>
          <w:p w14:paraId="14F254EC">
            <w:pPr>
              <w:spacing w:line="460" w:lineRule="exact"/>
              <w:ind w:firstLine="320" w:firstLineChars="100"/>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5分</w:t>
            </w:r>
          </w:p>
        </w:tc>
      </w:tr>
    </w:tbl>
    <w:p w14:paraId="4C56FC67">
      <w:pPr>
        <w:spacing w:line="460" w:lineRule="exact"/>
        <w:jc w:val="both"/>
        <w:rPr>
          <w:rFonts w:hint="eastAsia" w:ascii="黑体" w:hAnsi="黑体" w:eastAsia="黑体" w:cs="黑体"/>
          <w:color w:val="000000"/>
          <w:sz w:val="28"/>
          <w:szCs w:val="28"/>
          <w:lang w:val="en-US" w:eastAsia="zh-CN"/>
        </w:rPr>
      </w:pPr>
      <w:r>
        <w:rPr>
          <w:rFonts w:hint="eastAsia" w:ascii="仿宋_GB2312" w:hAnsi="仿宋_GB2312" w:eastAsia="仿宋_GB2312" w:cs="仿宋_GB2312"/>
          <w:color w:val="000000"/>
          <w:sz w:val="28"/>
          <w:szCs w:val="28"/>
          <w:vertAlign w:val="baseline"/>
          <w:lang w:val="en-US" w:eastAsia="zh-CN"/>
        </w:rPr>
        <w:t>注：</w:t>
      </w:r>
      <w:r>
        <w:rPr>
          <w:rFonts w:hint="eastAsia" w:ascii="仿宋_GB2312" w:hAnsi="仿宋_GB2312" w:eastAsia="仿宋_GB2312" w:cs="仿宋_GB2312"/>
          <w:i w:val="0"/>
          <w:iCs w:val="0"/>
          <w:caps w:val="0"/>
          <w:color w:val="000000"/>
          <w:spacing w:val="0"/>
          <w:sz w:val="28"/>
          <w:szCs w:val="28"/>
          <w:shd w:val="clear" w:fill="auto"/>
        </w:rPr>
        <w:t>总分为上述各项得分之和，满分100分。</w:t>
      </w:r>
    </w:p>
    <w:p w14:paraId="34D31A20">
      <w:pPr>
        <w:keepNext w:val="0"/>
        <w:keepLines w:val="0"/>
        <w:pageBreakBefore w:val="0"/>
        <w:kinsoku/>
        <w:wordWrap w:val="0"/>
        <w:overflowPunct/>
        <w:topLinePunct w:val="0"/>
        <w:autoSpaceDE/>
        <w:autoSpaceDN/>
        <w:bidi w:val="0"/>
        <w:adjustRightInd/>
        <w:snapToGrid/>
        <w:spacing w:line="560" w:lineRule="exact"/>
        <w:jc w:val="both"/>
        <w:textAlignment w:val="auto"/>
        <w:rPr>
          <w:rFonts w:hint="default" w:ascii="仿宋_GB2312" w:hAnsi="Times New Roman" w:eastAsia="仿宋_GB2312" w:cs="Times New Roman"/>
          <w:sz w:val="32"/>
          <w:szCs w:val="32"/>
          <w:lang w:val="en-US" w:eastAsia="zh-CN"/>
        </w:rPr>
      </w:pPr>
    </w:p>
    <w:sectPr>
      <w:pgSz w:w="11906" w:h="16838"/>
      <w:pgMar w:top="1361" w:right="1587" w:bottom="136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CA2346-354C-434B-A3B6-2AF78621B8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222F7599-7DE3-44CE-8F9F-4346955AAA6E}"/>
  </w:font>
  <w:font w:name="仿宋_GB2312">
    <w:panose1 w:val="02010609030101010101"/>
    <w:charset w:val="86"/>
    <w:family w:val="auto"/>
    <w:pitch w:val="default"/>
    <w:sig w:usb0="00000001" w:usb1="080E0000" w:usb2="00000000" w:usb3="00000000" w:csb0="00040000" w:csb1="00000000"/>
    <w:embedRegular r:id="rId3" w:fontKey="{7A327E9B-0AD1-43D0-BEF8-07245EC91393}"/>
  </w:font>
  <w:font w:name="楷体_GB2312">
    <w:panose1 w:val="02010609030101010101"/>
    <w:charset w:val="86"/>
    <w:family w:val="auto"/>
    <w:pitch w:val="default"/>
    <w:sig w:usb0="00000001" w:usb1="080E0000" w:usb2="00000000" w:usb3="00000000" w:csb0="00040000" w:csb1="00000000"/>
    <w:embedRegular r:id="rId4" w:fontKey="{C0908EC8-AB57-4E1D-8C33-7463C0E1A3DD}"/>
  </w:font>
  <w:font w:name="仿宋">
    <w:panose1 w:val="02010609060101010101"/>
    <w:charset w:val="86"/>
    <w:family w:val="auto"/>
    <w:pitch w:val="default"/>
    <w:sig w:usb0="800002BF" w:usb1="38CF7CFA" w:usb2="00000016" w:usb3="00000000" w:csb0="00040001" w:csb1="00000000"/>
    <w:embedRegular r:id="rId5" w:fontKey="{00512EF5-AEC2-4129-A403-2D7CF4DBDED4}"/>
  </w:font>
  <w:font w:name="方正黑体_GBK">
    <w:altName w:val="微软雅黑"/>
    <w:panose1 w:val="03000509000000000000"/>
    <w:charset w:val="86"/>
    <w:family w:val="auto"/>
    <w:pitch w:val="default"/>
    <w:sig w:usb0="00000000" w:usb1="00000000" w:usb2="00000000" w:usb3="00000000" w:csb0="00040000" w:csb1="00000000"/>
    <w:embedRegular r:id="rId6" w:fontKey="{DBE514BD-D4BC-4FFB-ACBA-7C5492A2971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538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FDB82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FDB82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C6F908"/>
    <w:multiLevelType w:val="singleLevel"/>
    <w:tmpl w:val="D7C6F90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33129"/>
    <w:rsid w:val="0B07099D"/>
    <w:rsid w:val="1B90527F"/>
    <w:rsid w:val="39DF4056"/>
    <w:rsid w:val="52D81D15"/>
    <w:rsid w:val="62BC1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unhideWhenUsed/>
    <w:qFormat/>
    <w:uiPriority w:val="99"/>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HTML Code"/>
    <w:basedOn w:val="12"/>
    <w:qFormat/>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2781</Words>
  <Characters>2938</Characters>
  <Lines>0</Lines>
  <Paragraphs>0</Paragraphs>
  <TotalTime>19</TotalTime>
  <ScaleCrop>false</ScaleCrop>
  <LinksUpToDate>false</LinksUpToDate>
  <CharactersWithSpaces>2998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2022-11-30T09:18:00Z</dcterms:created>
  <dc:creator>Administrator.DESKTOP-F56RGK8</dc:creator>
  <cp:lastModifiedBy>唐哲涵</cp:lastModifiedBy>
  <cp:lastPrinted>2025-12-08T08:38:00Z</cp:lastPrinted>
  <dcterms:modified xsi:type="dcterms:W3CDTF">2025-12-17T03:40:08Z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06B509D7355445EB99A522349D2E06E6_13</vt:lpwstr>
  </property>
  <property fmtid="{D5CDD505-2E9C-101B-9397-08002B2CF9AE}" pid="4" name="KSOTemplateDocerSaveRecord">
    <vt:lpwstr>eyJoZGlkIjoiOGJhMmRkNDk5MTE0NTIwMTg3ODA1ZTFlMGViNDk4ZTkiLCJ1c2VySWQiOiIyNTYxNzMwNDgifQ==</vt:lpwstr>
  </property>
</Properties>
</file>