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3E4B2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Times New Roman"/>
          <w:color w:val="000000"/>
          <w:kern w:val="2"/>
          <w:sz w:val="44"/>
          <w:szCs w:val="44"/>
          <w:lang w:val="en-US" w:eastAsia="zh-CN" w:bidi="ar"/>
        </w:rPr>
        <w:t>关于征求</w:t>
      </w: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《2025年度院级青年志愿者</w:t>
      </w:r>
    </w:p>
    <w:p w14:paraId="7095A4EB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宋体" w:eastAsia="方正小标宋简体" w:cs="Times New Roman"/>
          <w:color w:val="000000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协会考核指标体系》意见</w:t>
      </w:r>
      <w:r>
        <w:rPr>
          <w:rFonts w:hint="eastAsia" w:ascii="方正小标宋简体" w:hAnsi="宋体" w:eastAsia="方正小标宋简体" w:cs="Times New Roman"/>
          <w:color w:val="000000"/>
          <w:kern w:val="2"/>
          <w:sz w:val="44"/>
          <w:szCs w:val="44"/>
          <w:lang w:val="en-US" w:eastAsia="zh-CN" w:bidi="ar"/>
        </w:rPr>
        <w:t>的通知</w:t>
      </w:r>
    </w:p>
    <w:p w14:paraId="61E6D02E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宋体" w:eastAsia="方正小标宋简体" w:cs="Times New Roman"/>
          <w:color w:val="000000"/>
          <w:kern w:val="2"/>
          <w:sz w:val="44"/>
          <w:szCs w:val="44"/>
          <w:lang w:val="en-US" w:eastAsia="zh-CN" w:bidi="ar"/>
        </w:rPr>
      </w:pPr>
    </w:p>
    <w:p w14:paraId="7641FEC0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各青年志愿者协会分会：</w:t>
      </w:r>
    </w:p>
    <w:p w14:paraId="3D45B165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为进一步规范和完善院级青年志愿者协会考核工作，科学评价各学院青年志愿服务工作开展成效，现面向各学院征求《2025年度院级青年志愿者协会考核指标体系（征求意见稿）》（详见附件）有关意见。请各学院认真研读考核指标体系内容，梳理修改意见和建议（需注明具体修改条款、修改理由及修改建议），并于12月2日</w:t>
      </w:r>
      <w:r>
        <w:rPr>
          <w:rFonts w:hint="eastAsia" w:ascii="仿宋_GB2312" w:hAnsi="Calibri" w:eastAsia="仿宋_GB2312" w:cs="宋体"/>
          <w:kern w:val="2"/>
          <w:sz w:val="32"/>
          <w:szCs w:val="32"/>
          <w:lang w:val="en-US" w:eastAsia="zh-CN" w:bidi="ar"/>
        </w:rPr>
        <w:t>15:00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前将书面意见（加盖学院公章）电子版发送至指定邮箱。</w:t>
      </w:r>
    </w:p>
    <w:p w14:paraId="4ED11B7B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逾期未反馈的，视为无异议。</w:t>
      </w:r>
    </w:p>
    <w:p w14:paraId="16A7E7A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6A32114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lang w:val="en-US" w:eastAsia="zh-CN" w:bidi="ar"/>
        </w:rPr>
        <w:t>联系人：汤赟瑞 666691/孙安康622596</w:t>
      </w:r>
    </w:p>
    <w:p w14:paraId="7D9722F1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lang w:val="en-US" w:eastAsia="zh-CN" w:bidi="ar"/>
        </w:rPr>
        <w:t>邮  箱：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fill="FFFFFF"/>
          <w:lang w:val="en-US" w:eastAsia="zh-CN" w:bidi="ar"/>
        </w:rPr>
        <w:t>282668652</w:t>
      </w: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lang w:val="en-US" w:eastAsia="zh-CN" w:bidi="ar"/>
        </w:rPr>
        <w:t>@qq.com</w:t>
      </w:r>
    </w:p>
    <w:p w14:paraId="316E47B0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eastAsia="仿宋_GB2312" w:cs="仿宋_GB2312"/>
          <w:color w:val="333333"/>
          <w:sz w:val="32"/>
          <w:szCs w:val="32"/>
          <w:lang w:val="en-US"/>
        </w:rPr>
      </w:pPr>
    </w:p>
    <w:p w14:paraId="6515408B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1918" w:leftChars="304" w:right="0" w:hanging="1280" w:hangingChars="400"/>
        <w:jc w:val="both"/>
        <w:textAlignment w:val="auto"/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lang w:val="en-US" w:eastAsia="zh-CN" w:bidi="ar"/>
        </w:rPr>
        <w:t>附  件：2025年度院级青年志愿者协会考核指标体系</w:t>
      </w:r>
    </w:p>
    <w:p w14:paraId="099A63D3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1916" w:leftChars="760" w:right="0" w:hanging="320" w:hangingChars="100"/>
        <w:jc w:val="both"/>
        <w:textAlignment w:val="auto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Calibri" w:eastAsia="仿宋_GB2312" w:cs="仿宋_GB2312"/>
          <w:color w:val="000000"/>
          <w:kern w:val="2"/>
          <w:sz w:val="32"/>
          <w:szCs w:val="32"/>
          <w:lang w:val="en-US" w:eastAsia="zh-CN" w:bidi="ar"/>
        </w:rPr>
        <w:t>（征求意见稿）</w:t>
      </w:r>
    </w:p>
    <w:p w14:paraId="78B16C8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5F498A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EB50DB1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1600" w:firstLineChars="500"/>
        <w:jc w:val="center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宋体" w:eastAsia="仿宋_GB2312" w:cs="黑体"/>
          <w:color w:val="000000"/>
          <w:kern w:val="2"/>
          <w:sz w:val="32"/>
          <w:szCs w:val="32"/>
          <w:lang w:val="en-US" w:eastAsia="zh-CN" w:bidi="ar"/>
        </w:rPr>
        <w:t xml:space="preserve">                   团委</w:t>
      </w:r>
    </w:p>
    <w:p w14:paraId="2B699525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仿宋_GB2312" w:hAnsi="宋体" w:eastAsia="仿宋_GB2312" w:cs="黑体"/>
          <w:sz w:val="32"/>
          <w:szCs w:val="32"/>
          <w:lang w:val="en-US"/>
        </w:rPr>
      </w:pPr>
      <w:r>
        <w:rPr>
          <w:rFonts w:hint="eastAsia" w:ascii="仿宋_GB2312" w:hAnsi="宋体" w:eastAsia="仿宋_GB2312" w:cs="黑体"/>
          <w:color w:val="000000"/>
          <w:kern w:val="2"/>
          <w:sz w:val="32"/>
          <w:szCs w:val="32"/>
          <w:lang w:val="en-US" w:eastAsia="zh-CN" w:bidi="ar"/>
        </w:rPr>
        <w:t xml:space="preserve">                             2025年12月1日</w:t>
      </w:r>
    </w:p>
    <w:p w14:paraId="544F34A6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7" w:h="16839"/>
          <w:pgMar w:top="1361" w:right="1644" w:bottom="1361" w:left="1644" w:header="0" w:footer="1209" w:gutter="0"/>
          <w:cols w:space="720" w:num="1"/>
        </w:sectPr>
      </w:pPr>
    </w:p>
    <w:p w14:paraId="42FCA240"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 w14:paraId="4E1BB4E2">
      <w:pPr>
        <w:kinsoku/>
        <w:wordWrap w:val="0"/>
        <w:topLinePunct/>
        <w:autoSpaceDE/>
        <w:autoSpaceDN/>
        <w:spacing w:line="560" w:lineRule="exact"/>
        <w:jc w:val="center"/>
        <w:rPr>
          <w:rFonts w:hint="eastAsia" w:eastAsia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2025年度院级青年志愿者协会考核指标体系</w:t>
      </w: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  <w:lang w:val="en-US" w:eastAsia="zh-CN"/>
        </w:rPr>
        <w:t>征求意见稿</w:t>
      </w: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  <w:lang w:eastAsia="zh-CN"/>
        </w:rPr>
        <w:t>）</w:t>
      </w:r>
    </w:p>
    <w:p w14:paraId="5119F12C">
      <w:pPr>
        <w:kinsoku/>
        <w:wordWrap w:val="0"/>
        <w:topLinePunct/>
        <w:autoSpaceDE/>
        <w:autoSpaceDN/>
        <w:spacing w:line="74" w:lineRule="exact"/>
        <w:rPr>
          <w:sz w:val="24"/>
          <w:szCs w:val="24"/>
        </w:rPr>
      </w:pPr>
    </w:p>
    <w:tbl>
      <w:tblPr>
        <w:tblStyle w:val="5"/>
        <w:tblW w:w="144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1141"/>
        <w:gridCol w:w="585"/>
        <w:gridCol w:w="1223"/>
        <w:gridCol w:w="1316"/>
        <w:gridCol w:w="868"/>
        <w:gridCol w:w="4906"/>
        <w:gridCol w:w="3853"/>
      </w:tblGrid>
      <w:tr w14:paraId="77167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258E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一级指标</w:t>
            </w:r>
          </w:p>
        </w:tc>
        <w:tc>
          <w:tcPr>
            <w:tcW w:w="3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6FF0D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二级指标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73F8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赋值</w:t>
            </w:r>
          </w:p>
          <w:p w14:paraId="20E12C8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（分）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6C64A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细则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2E484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bidi="ar"/>
              </w:rPr>
              <w:t>佐证材料</w:t>
            </w:r>
          </w:p>
        </w:tc>
      </w:tr>
      <w:tr w14:paraId="275EB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9F5352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</w:t>
            </w:r>
          </w:p>
        </w:tc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53F2C8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组织管理</w:t>
            </w:r>
          </w:p>
          <w:p w14:paraId="21A0617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（20分）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804C7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</w:t>
            </w:r>
          </w:p>
        </w:tc>
        <w:tc>
          <w:tcPr>
            <w:tcW w:w="2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D790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志愿者注册及规范管理</w:t>
            </w:r>
          </w:p>
          <w:p w14:paraId="3B3B663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工作的完成情况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F526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5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37B6B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1.按时完成新生志愿者注册得2.5分，未按时但已完成得1.5分，未完成不得分；</w:t>
            </w:r>
          </w:p>
          <w:p w14:paraId="0D4E79D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2.按时完善信息并清理存量得2.5分，未按时但已完成得1.5分，未完成不得分。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D9DCA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无需提交。</w:t>
            </w:r>
          </w:p>
        </w:tc>
      </w:tr>
      <w:tr w14:paraId="3ACF1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32B67E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8CA622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6FF6D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2</w:t>
            </w:r>
          </w:p>
        </w:tc>
        <w:tc>
          <w:tcPr>
            <w:tcW w:w="2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4D94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开展工作培训的次数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3946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5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A3E8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开展志愿知识、技能培训等，1次培训得2.5分，2次得5分。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DDCE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提供培训通讯和照片。（通讯：在学院及以上媒体发布的通讯链接，表格见模版）</w:t>
            </w:r>
          </w:p>
        </w:tc>
      </w:tr>
      <w:tr w14:paraId="0BD00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91574A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DD42B0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D615F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</w:t>
            </w:r>
          </w:p>
        </w:tc>
        <w:tc>
          <w:tcPr>
            <w:tcW w:w="2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1AE4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注册志愿者人均志愿服务时长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7EAE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D473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以志愿汇平台数据为依据，根据人均服务时长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kern w:val="10"/>
              </w:rPr>
              <w:t>赋分(归一法）。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50EFD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提供志愿汇截图证明（JPG格式）。</w:t>
            </w:r>
          </w:p>
        </w:tc>
      </w:tr>
      <w:tr w14:paraId="55DEF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54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7B94C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50178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36C1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4</w:t>
            </w:r>
          </w:p>
        </w:tc>
        <w:tc>
          <w:tcPr>
            <w:tcW w:w="2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4CA25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青年志愿者协会例会</w:t>
            </w:r>
          </w:p>
          <w:p w14:paraId="25EB0A5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到会情况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BB01E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5</w:t>
            </w:r>
          </w:p>
        </w:tc>
        <w:tc>
          <w:tcPr>
            <w:tcW w:w="4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67E6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根据会议到会情况赋分，有正当理由请假或迟到每次扣1分，无故缺席每次扣2分。</w:t>
            </w:r>
          </w:p>
        </w:tc>
        <w:tc>
          <w:tcPr>
            <w:tcW w:w="3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8A53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无需提交。</w:t>
            </w:r>
          </w:p>
        </w:tc>
      </w:tr>
      <w:tr w14:paraId="79482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A35D2">
            <w:pPr>
              <w:keepNext w:val="0"/>
              <w:keepLines w:val="0"/>
              <w:widowControl/>
              <w:suppressLineNumbers w:val="0"/>
              <w:tabs>
                <w:tab w:val="left" w:pos="318"/>
              </w:tabs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C483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活动组织与开展</w:t>
            </w:r>
          </w:p>
          <w:p w14:paraId="3EDD1D2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（51分）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3C50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5</w:t>
            </w: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7E41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“百万大学生进社区”社会实践（46分）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806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工作覆盖面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D29C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EE3E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每个学院结对一个镇街团委，每个班级团支部结对一个社区。根据团支部的结对覆盖率*5进行赋分。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A3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无需提交</w:t>
            </w:r>
          </w:p>
        </w:tc>
      </w:tr>
      <w:tr w14:paraId="69385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17AA1">
            <w:pPr>
              <w:keepNext w:val="0"/>
              <w:keepLines w:val="0"/>
              <w:widowControl/>
              <w:suppressLineNumbers w:val="0"/>
              <w:tabs>
                <w:tab w:val="left" w:pos="318"/>
              </w:tabs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8D5A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A92E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6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E416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C29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活动类别</w:t>
            </w:r>
          </w:p>
          <w:p w14:paraId="1A1D08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覆盖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7EAA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9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BAB4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活动涵盖医疗卫生、金晖助老、扶弱助残、环境保护、防范电信诈骗、理论宣讲、防艾禁毒、文化传承、科普宣传方面，并围绕相关类型开展系列活动。每组织1种类型得1分。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31E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提供活动汇总表（表格见模版）。</w:t>
            </w:r>
          </w:p>
        </w:tc>
      </w:tr>
      <w:tr w14:paraId="75771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E0F6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905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B2CF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7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3DA64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6847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工作质量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A98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10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BF83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根据活动开展率赋分（归一法）。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EF26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无需提交。</w:t>
            </w:r>
          </w:p>
        </w:tc>
      </w:tr>
      <w:tr w14:paraId="4E949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572B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D9C1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761D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8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7F8F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A4D7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校级品牌</w:t>
            </w:r>
          </w:p>
          <w:p w14:paraId="66E10A3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项目开展率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1B6D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4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475A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根据被认定的校级社会实践品牌项目开展率*4进行赋分。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0F4C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提交社会实践品牌项目开展情况汇总表（表格见模版）。</w:t>
            </w:r>
          </w:p>
        </w:tc>
      </w:tr>
      <w:tr w14:paraId="44F82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8051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AAF6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D4AB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9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0D063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AA1F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供需对接会</w:t>
            </w:r>
          </w:p>
          <w:p w14:paraId="548932E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召开情况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8593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2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720C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召开供需对接会得2分，未召开不得分。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1ADF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提交供需对接会召开情况统计表（表格见模版）。</w:t>
            </w:r>
          </w:p>
        </w:tc>
      </w:tr>
      <w:tr w14:paraId="3E25E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3A18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4212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8A9F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10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4061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DC0C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党建带团建开展情况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2A49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4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A746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开展党建带团建培育特色品牌项目至少1次，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次得2分。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C7ED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提供通讯链接（表格见模版）。</w:t>
            </w:r>
          </w:p>
        </w:tc>
      </w:tr>
      <w:tr w14:paraId="4D41E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75E9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EF8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90CA6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11</w:t>
            </w: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CD1CA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475F2">
            <w:pPr>
              <w:keepNext w:val="0"/>
              <w:keepLines w:val="0"/>
              <w:widowControl/>
              <w:suppressLineNumbers w:val="0"/>
              <w:kinsoku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“双导师”指导情况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7D01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5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C531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校内外导师至少每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月开展至少1次线上或线下沟通会，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并留有记录，一次得2.5分。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C5D8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提供指导活动佐证材料（如会议/培训照片、宣传通讯（每个项目提供1-2张关键照片及链接即可，表格见模版）。</w:t>
            </w:r>
          </w:p>
        </w:tc>
      </w:tr>
      <w:tr w14:paraId="3AE20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E5F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479F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A288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12</w:t>
            </w:r>
          </w:p>
        </w:tc>
        <w:tc>
          <w:tcPr>
            <w:tcW w:w="12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4FA4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9E23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工作简报</w:t>
            </w:r>
          </w:p>
          <w:p w14:paraId="16ACE50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提交情况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A685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7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A72E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每月对活动进行总结，形成工作简报，团委官网报道1分/篇。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CB70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无需提交。</w:t>
            </w:r>
          </w:p>
        </w:tc>
      </w:tr>
      <w:tr w14:paraId="38B6E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5993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3A94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13BA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</w:rPr>
              <w:t>13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72FE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2025年暑期“返家乡”</w:t>
            </w:r>
          </w:p>
          <w:p w14:paraId="19E0836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社会实践参与率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BE06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2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642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以各学院参与率赋分（归一法）。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D75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无需提交。</w:t>
            </w:r>
          </w:p>
        </w:tc>
      </w:tr>
      <w:tr w14:paraId="10BF0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9B8F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AE3A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7033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14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7561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无偿献血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7135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3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0447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2025年无偿献血人数占学院总人数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 w:bidi="ar"/>
              </w:rPr>
              <w:t>（实习见习学生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 w:bidi="ar"/>
              </w:rPr>
              <w:t>除外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比例*3进行赋分（3分）。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B18B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提交无偿献血参与情况统计表（表格见模版）。</w:t>
            </w:r>
          </w:p>
        </w:tc>
      </w:tr>
      <w:tr w14:paraId="5A32C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A264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3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A3C0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总结表彰（26分）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668D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15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311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活动总结材料的提交情况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064D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4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1512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活动结束后，72小时内提交总结材料至校青协。逾期未提交的，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次扣1分；未按时提交，</w:t>
            </w:r>
            <w:r>
              <w:rPr>
                <w:rFonts w:hint="eastAsia" w:ascii="仿宋_GB2312" w:hAnsi="仿宋_GB2312" w:eastAsia="仿宋_GB2312" w:cs="仿宋_GB2312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次扣0.5分。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476A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无需提交。</w:t>
            </w:r>
          </w:p>
        </w:tc>
      </w:tr>
      <w:tr w14:paraId="7AC45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9AB0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FB14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B861E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16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5EF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活动宣传报道情况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8C9F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5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FA04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院级媒体报道0.5分/篇；校级媒体报道1分/篇；市级媒体报道2分/篇；省级及以上媒体报道4分/篇</w:t>
            </w:r>
            <w:r>
              <w:rPr>
                <w:rFonts w:hint="eastAsia" w:ascii="仿宋_GB2312" w:hAnsi="仿宋_GB2312" w:eastAsia="仿宋_GB2312" w:cs="仿宋_GB2312"/>
                <w:lang w:eastAsia="zh-CN" w:bidi="ar"/>
              </w:rPr>
              <w:t>。</w:t>
            </w:r>
            <w:r>
              <w:rPr>
                <w:rFonts w:hint="eastAsia" w:ascii="仿宋_GB2312" w:hAnsi="仿宋_GB2312" w:eastAsia="仿宋_GB2312" w:cs="仿宋_GB2312"/>
                <w:lang w:bidi="ar"/>
              </w:rPr>
              <w:t>同一活动不重复加分，满分5分。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B2B7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提供通讯链接（表格见模版）。</w:t>
            </w:r>
          </w:p>
        </w:tc>
      </w:tr>
      <w:tr w14:paraId="13247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9055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E044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737F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17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D248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全国大学生志愿服务</w:t>
            </w:r>
          </w:p>
          <w:p w14:paraId="7B4D96C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宣讲团入选团队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BF02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4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EC4D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入选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 w:bidi="ar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两弹一星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 w:bidi="ar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精神、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关爱行动“七彩假期”、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“防治结核 志愿有我”等志愿服务宣讲团，2分/支。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F36D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提供上级公示截图（JPG格式）。</w:t>
            </w:r>
          </w:p>
        </w:tc>
      </w:tr>
      <w:tr w14:paraId="710CD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E232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2ECD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7EE4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18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7D0BD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获市级(含)以上奖励的志愿服务集体或个人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E19A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5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781BF">
            <w:pPr>
              <w:keepNext w:val="0"/>
              <w:keepLines w:val="0"/>
              <w:widowControl/>
              <w:suppressLineNumbers w:val="0"/>
              <w:tabs>
                <w:tab w:val="left" w:pos="3121"/>
              </w:tabs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志愿服务先进个人、先进集体，省级及以上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分/人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项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，市级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分/人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 w:bidi="ar"/>
              </w:rPr>
              <w:t>项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E3049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提供获奖列表(含姓名/集体、所获奖项、获奖时间)及佐证材料。</w:t>
            </w:r>
          </w:p>
        </w:tc>
      </w:tr>
      <w:tr w14:paraId="033B3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3B03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9000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2413C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19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C0D6A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获市级(含)以上奖励的</w:t>
            </w:r>
          </w:p>
          <w:p w14:paraId="61EFF460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  <w:lang w:bidi="ar"/>
              </w:rPr>
              <w:t>志愿服务项目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35A46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8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E7A05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1.省级及以上：一等奖*4分/项，二等奖*3分/项，三等奖*2分/项；</w:t>
            </w:r>
          </w:p>
          <w:p w14:paraId="33B54C6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bidi="ar"/>
              </w:rPr>
              <w:t>2.市级：一等奖*2分/项，二等奖*1.5分/项，三等奖*1分/项。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D124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highlight w:val="yellow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提供获奖列表(含项目名称、项目负责人、指导教师、所获奖项、获奖时间)及佐证材料。</w:t>
            </w:r>
          </w:p>
        </w:tc>
      </w:tr>
      <w:tr w14:paraId="53175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B99E8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4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9D49B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理论研究（3分）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24011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</w:t>
            </w:r>
          </w:p>
        </w:tc>
        <w:tc>
          <w:tcPr>
            <w:tcW w:w="2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E01AF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正式出版的志愿服务理论与实践研究书籍、核心期刊论文数量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7F872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3</w:t>
            </w:r>
          </w:p>
        </w:tc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3964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highlight w:val="yellow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lang w:bidi="ar"/>
              </w:rPr>
              <w:t>特指本学院教师、学生正式出版的志愿服务理论与实践研究书籍和发表期刊论文，1.5分/篇。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FC063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提供书籍和论文列表(含作者姓名、身份、书名或论文题名、出版或发表时间、出版社或期刊名称等信息)及相关佐证材料。</w:t>
            </w:r>
          </w:p>
        </w:tc>
      </w:tr>
      <w:tr w14:paraId="09F66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4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EA707">
            <w:pPr>
              <w:keepNext w:val="0"/>
              <w:keepLines w:val="0"/>
              <w:widowControl/>
              <w:suppressLineNumbers w:val="0"/>
              <w:kinsoku/>
              <w:wordWrap w:val="0"/>
              <w:topLinePunct/>
              <w:autoSpaceDE/>
              <w:autoSpaceDN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注：凡提报材料存在弄虚作假，取消评优资格并通报批评；同一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lang w:bidi="ar"/>
              </w:rPr>
              <w:t>获奖按最高荣誉赋分。</w:t>
            </w:r>
          </w:p>
        </w:tc>
      </w:tr>
    </w:tbl>
    <w:p w14:paraId="33699AF5">
      <w:pPr>
        <w:spacing w:line="20" w:lineRule="exact"/>
        <w:rPr>
          <w:rFonts w:hint="eastAsia" w:ascii="仿宋_GB2312" w:hAnsi="仿宋_GB2312" w:eastAsia="仿宋_GB2312" w:cs="仿宋_GB2312"/>
          <w:spacing w:val="-11"/>
        </w:rPr>
      </w:pPr>
    </w:p>
    <w:sectPr>
      <w:pgSz w:w="16839" w:h="11907" w:orient="landscape"/>
      <w:pgMar w:top="1361" w:right="1644" w:bottom="1361" w:left="1644" w:header="0" w:footer="120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CCC0D">
    <w:pPr>
      <w:spacing w:line="176" w:lineRule="auto"/>
      <w:ind w:left="6967"/>
      <w:rPr>
        <w:rFonts w:ascii="Calibri" w:hAnsi="Calibri" w:eastAsia="宋体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683B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F683B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M2JjNDkwYWU0ZmJlMDI4ZjViMDA4NDNkZGRjNGEwMmIifQ=="/>
  </w:docVars>
  <w:rsids>
    <w:rsidRoot w:val="00172A27"/>
    <w:rsid w:val="00076759"/>
    <w:rsid w:val="00172A27"/>
    <w:rsid w:val="0024078A"/>
    <w:rsid w:val="002B34AE"/>
    <w:rsid w:val="00706668"/>
    <w:rsid w:val="00964BDF"/>
    <w:rsid w:val="00F21752"/>
    <w:rsid w:val="00FC0267"/>
    <w:rsid w:val="00FD2A65"/>
    <w:rsid w:val="01790E9C"/>
    <w:rsid w:val="025E4579"/>
    <w:rsid w:val="03195E75"/>
    <w:rsid w:val="04444E5A"/>
    <w:rsid w:val="05045994"/>
    <w:rsid w:val="068415BF"/>
    <w:rsid w:val="06D66EBD"/>
    <w:rsid w:val="07DC5A46"/>
    <w:rsid w:val="09482E5C"/>
    <w:rsid w:val="09807099"/>
    <w:rsid w:val="09D122E9"/>
    <w:rsid w:val="0B7740C4"/>
    <w:rsid w:val="0BBC4403"/>
    <w:rsid w:val="0BC97B63"/>
    <w:rsid w:val="0C3B1C9C"/>
    <w:rsid w:val="0C873AD4"/>
    <w:rsid w:val="0DD54AA0"/>
    <w:rsid w:val="0E48612E"/>
    <w:rsid w:val="0EAF0AC4"/>
    <w:rsid w:val="0FB56662"/>
    <w:rsid w:val="0FF5742C"/>
    <w:rsid w:val="112F0A6A"/>
    <w:rsid w:val="139C50EA"/>
    <w:rsid w:val="141E2447"/>
    <w:rsid w:val="1424570B"/>
    <w:rsid w:val="17AB69E5"/>
    <w:rsid w:val="180715CC"/>
    <w:rsid w:val="184C6921"/>
    <w:rsid w:val="189E3CDE"/>
    <w:rsid w:val="1AB9231D"/>
    <w:rsid w:val="1BB91C9A"/>
    <w:rsid w:val="1D13085E"/>
    <w:rsid w:val="1D44297A"/>
    <w:rsid w:val="1D5A6C53"/>
    <w:rsid w:val="1E276524"/>
    <w:rsid w:val="1EE944D2"/>
    <w:rsid w:val="20A57BD4"/>
    <w:rsid w:val="21D338D0"/>
    <w:rsid w:val="222070B9"/>
    <w:rsid w:val="222407FA"/>
    <w:rsid w:val="226610CA"/>
    <w:rsid w:val="253F05F7"/>
    <w:rsid w:val="25B42C69"/>
    <w:rsid w:val="26606018"/>
    <w:rsid w:val="26C00D8E"/>
    <w:rsid w:val="27EC3F36"/>
    <w:rsid w:val="27F13123"/>
    <w:rsid w:val="287253C0"/>
    <w:rsid w:val="29355108"/>
    <w:rsid w:val="29554ECD"/>
    <w:rsid w:val="298C1C65"/>
    <w:rsid w:val="2A161B1A"/>
    <w:rsid w:val="2A6E69FF"/>
    <w:rsid w:val="2ACB70F6"/>
    <w:rsid w:val="2ACF705B"/>
    <w:rsid w:val="2B6B5E34"/>
    <w:rsid w:val="2B9C58CC"/>
    <w:rsid w:val="2BA417C3"/>
    <w:rsid w:val="2C33078A"/>
    <w:rsid w:val="2F395C16"/>
    <w:rsid w:val="2FBB2F70"/>
    <w:rsid w:val="30833665"/>
    <w:rsid w:val="316F0CD6"/>
    <w:rsid w:val="324A05DB"/>
    <w:rsid w:val="328E2276"/>
    <w:rsid w:val="334C648B"/>
    <w:rsid w:val="334E7511"/>
    <w:rsid w:val="341A62EF"/>
    <w:rsid w:val="3468486C"/>
    <w:rsid w:val="360A4309"/>
    <w:rsid w:val="363C00BB"/>
    <w:rsid w:val="3676374D"/>
    <w:rsid w:val="36F432BF"/>
    <w:rsid w:val="37500442"/>
    <w:rsid w:val="377A101B"/>
    <w:rsid w:val="37D22C05"/>
    <w:rsid w:val="38CA5C84"/>
    <w:rsid w:val="39A40A85"/>
    <w:rsid w:val="3ADD023E"/>
    <w:rsid w:val="3C013442"/>
    <w:rsid w:val="3C7E5D80"/>
    <w:rsid w:val="3D876E61"/>
    <w:rsid w:val="3EC66663"/>
    <w:rsid w:val="3F8B14B2"/>
    <w:rsid w:val="3F8E5FAB"/>
    <w:rsid w:val="40BA692C"/>
    <w:rsid w:val="415A08CA"/>
    <w:rsid w:val="41605725"/>
    <w:rsid w:val="419D3E8B"/>
    <w:rsid w:val="41A03D74"/>
    <w:rsid w:val="41E4275A"/>
    <w:rsid w:val="41F002F1"/>
    <w:rsid w:val="42606065"/>
    <w:rsid w:val="43891B37"/>
    <w:rsid w:val="43BE6733"/>
    <w:rsid w:val="43BE6F00"/>
    <w:rsid w:val="44044A8E"/>
    <w:rsid w:val="443A1646"/>
    <w:rsid w:val="44C67F95"/>
    <w:rsid w:val="451F76A5"/>
    <w:rsid w:val="453E18DA"/>
    <w:rsid w:val="459B14EF"/>
    <w:rsid w:val="469362A7"/>
    <w:rsid w:val="47B75973"/>
    <w:rsid w:val="49973CAE"/>
    <w:rsid w:val="4A6C13D4"/>
    <w:rsid w:val="4C052A7B"/>
    <w:rsid w:val="4C207BF0"/>
    <w:rsid w:val="4C312744"/>
    <w:rsid w:val="4CD56E22"/>
    <w:rsid w:val="4E1E499E"/>
    <w:rsid w:val="4E564138"/>
    <w:rsid w:val="4E6F3CDF"/>
    <w:rsid w:val="4EA02691"/>
    <w:rsid w:val="4ECC32E2"/>
    <w:rsid w:val="4F7A2352"/>
    <w:rsid w:val="506A72DB"/>
    <w:rsid w:val="50F639B0"/>
    <w:rsid w:val="518C3AB6"/>
    <w:rsid w:val="528154FB"/>
    <w:rsid w:val="52EA7255"/>
    <w:rsid w:val="5386159C"/>
    <w:rsid w:val="54635F6B"/>
    <w:rsid w:val="547E102F"/>
    <w:rsid w:val="54EB0A88"/>
    <w:rsid w:val="559351F5"/>
    <w:rsid w:val="56F31996"/>
    <w:rsid w:val="5783091A"/>
    <w:rsid w:val="579912E4"/>
    <w:rsid w:val="59103CAB"/>
    <w:rsid w:val="59FD4484"/>
    <w:rsid w:val="5A3D3D89"/>
    <w:rsid w:val="5B817B8F"/>
    <w:rsid w:val="5D263BB7"/>
    <w:rsid w:val="5D486FBE"/>
    <w:rsid w:val="5D992F54"/>
    <w:rsid w:val="5F9C1BC7"/>
    <w:rsid w:val="604F0D7A"/>
    <w:rsid w:val="60D06610"/>
    <w:rsid w:val="60EA1B67"/>
    <w:rsid w:val="61146CA1"/>
    <w:rsid w:val="61AB4343"/>
    <w:rsid w:val="61E66C29"/>
    <w:rsid w:val="623F75A8"/>
    <w:rsid w:val="634F410F"/>
    <w:rsid w:val="654B09B5"/>
    <w:rsid w:val="65DF3DF4"/>
    <w:rsid w:val="66442670"/>
    <w:rsid w:val="67A469D9"/>
    <w:rsid w:val="67DE1E3C"/>
    <w:rsid w:val="683A01CF"/>
    <w:rsid w:val="68C00772"/>
    <w:rsid w:val="6959306E"/>
    <w:rsid w:val="69CA4231"/>
    <w:rsid w:val="6A96698A"/>
    <w:rsid w:val="6B3833E9"/>
    <w:rsid w:val="6F200127"/>
    <w:rsid w:val="6F493FA0"/>
    <w:rsid w:val="70551364"/>
    <w:rsid w:val="7073427E"/>
    <w:rsid w:val="707D334E"/>
    <w:rsid w:val="70E433CD"/>
    <w:rsid w:val="721C3174"/>
    <w:rsid w:val="72A04FE6"/>
    <w:rsid w:val="73221F8B"/>
    <w:rsid w:val="74143FCA"/>
    <w:rsid w:val="74924A89"/>
    <w:rsid w:val="74DA188F"/>
    <w:rsid w:val="74E201C8"/>
    <w:rsid w:val="763D67B1"/>
    <w:rsid w:val="76DB2040"/>
    <w:rsid w:val="77134A43"/>
    <w:rsid w:val="774404AD"/>
    <w:rsid w:val="77E15E09"/>
    <w:rsid w:val="79294963"/>
    <w:rsid w:val="795D0753"/>
    <w:rsid w:val="795F45C5"/>
    <w:rsid w:val="79DA4F00"/>
    <w:rsid w:val="7A3E40A6"/>
    <w:rsid w:val="7AA26A10"/>
    <w:rsid w:val="7B046460"/>
    <w:rsid w:val="7B205D11"/>
    <w:rsid w:val="7B8D3E83"/>
    <w:rsid w:val="7B93031C"/>
    <w:rsid w:val="7C0B078A"/>
    <w:rsid w:val="7C0B180E"/>
    <w:rsid w:val="7C251334"/>
    <w:rsid w:val="7C913179"/>
    <w:rsid w:val="7D672DCF"/>
    <w:rsid w:val="7EB919F5"/>
    <w:rsid w:val="7F9D1BAD"/>
    <w:rsid w:val="7FAC7684"/>
    <w:rsid w:val="7FE8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Arial" w:cs="Arial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basedOn w:val="5"/>
    <w:semiHidden/>
    <w:unhideWhenUsed/>
    <w:qFormat/>
    <w:uiPriority w:val="0"/>
    <w:tblPr>
      <w:tblCellMar>
        <w:left w:w="0" w:type="dxa"/>
        <w:right w:w="0" w:type="dxa"/>
      </w:tblCellMar>
    </w:tblPr>
  </w:style>
  <w:style w:type="character" w:customStyle="1" w:styleId="9">
    <w:name w:val="font51"/>
    <w:basedOn w:val="7"/>
    <w:qFormat/>
    <w:uiPriority w:val="0"/>
    <w:rPr>
      <w:rFonts w:ascii="黑体" w:hAnsi="宋体" w:eastAsia="黑体" w:cs="黑体"/>
      <w:color w:val="000000"/>
      <w:sz w:val="18"/>
      <w:szCs w:val="18"/>
      <w:u w:val="none"/>
    </w:rPr>
  </w:style>
  <w:style w:type="character" w:customStyle="1" w:styleId="10">
    <w:name w:val="font71"/>
    <w:basedOn w:val="7"/>
    <w:qFormat/>
    <w:uiPriority w:val="0"/>
    <w:rPr>
      <w:rFonts w:hint="eastAsia" w:ascii="楷体" w:hAnsi="楷体" w:eastAsia="楷体" w:cs="楷体"/>
      <w:color w:val="000000"/>
      <w:sz w:val="18"/>
      <w:szCs w:val="18"/>
      <w:u w:val="none"/>
    </w:rPr>
  </w:style>
  <w:style w:type="character" w:customStyle="1" w:styleId="11">
    <w:name w:val="font8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0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31"/>
    <w:basedOn w:val="7"/>
    <w:qFormat/>
    <w:uiPriority w:val="0"/>
    <w:rPr>
      <w:rFonts w:hint="eastAsia" w:ascii="楷体" w:hAnsi="楷体" w:eastAsia="楷体" w:cs="楷体"/>
      <w:color w:val="000000"/>
      <w:sz w:val="18"/>
      <w:szCs w:val="18"/>
      <w:u w:val="none"/>
    </w:rPr>
  </w:style>
  <w:style w:type="character" w:customStyle="1" w:styleId="14">
    <w:name w:val="页脚 字符"/>
    <w:basedOn w:val="7"/>
    <w:link w:val="3"/>
    <w:qFormat/>
    <w:uiPriority w:val="0"/>
    <w:rPr>
      <w:rFonts w:hint="default"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1834</Words>
  <Characters>1943</Characters>
  <Lines>136</Lines>
  <Paragraphs>133</Paragraphs>
  <TotalTime>23</TotalTime>
  <ScaleCrop>false</ScaleCrop>
  <LinksUpToDate>false</LinksUpToDate>
  <CharactersWithSpaces>1997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2023-05-19T11:51:00Z</dcterms:created>
  <dc:creator>HP</dc:creator>
  <cp:lastModifiedBy>糖摄氏度</cp:lastModifiedBy>
  <cp:lastPrinted>2025-11-28T07:14:00Z</cp:lastPrinted>
  <dcterms:modified xsi:type="dcterms:W3CDTF">2025-12-01T06:58:34Z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2023-05-21T11:13:31Z</vt:filetime>
  </property>
  <property fmtid="{D5CDD505-2E9C-101B-9397-08002B2CF9AE}" pid="4" name="KSOProductBuildVer">
    <vt:lpwstr>2052-12.1.0.23542</vt:lpwstr>
  </property>
  <property fmtid="{D5CDD505-2E9C-101B-9397-08002B2CF9AE}" pid="5" name="ICV">
    <vt:lpwstr>D27AE289B1DD4FCDAB815579F2E35A9A_13</vt:lpwstr>
  </property>
  <property fmtid="{D5CDD505-2E9C-101B-9397-08002B2CF9AE}" pid="6" name="KSOTemplateDocerSaveRecord">
    <vt:lpwstr>eyJoZGlkIjoiYWNkYmQ4MzhkMDY2Y2E0MzBmMzc4MWU4NTgwM2JkYzAiLCJ1c2VySWQiOiIxMTI0Mjg1NzczIn0=</vt:lpwstr>
  </property>
</Properties>
</file>