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B0AEB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济宁医学院</w:t>
      </w:r>
    </w:p>
    <w:p w14:paraId="772941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关于组织2025年大学生志愿服务西部计划</w:t>
      </w:r>
    </w:p>
    <w:p w14:paraId="304796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笔试、面试和心理测试工作的通知</w:t>
      </w:r>
    </w:p>
    <w:p w14:paraId="360F06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34D1EB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各学院：</w:t>
      </w:r>
    </w:p>
    <w:p w14:paraId="0B8106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根据2025年大学生志愿服务西部计划工作安排，为规范做好我校相关工作，现将笔试、面试、心理测试相关事宜通知如下：</w:t>
      </w:r>
    </w:p>
    <w:p w14:paraId="1AF14B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default" w:ascii="黑体" w:hAnsi="宋体" w:eastAsia="黑体" w:cs="黑体"/>
          <w:kern w:val="2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 w:cs="黑体"/>
          <w:kern w:val="2"/>
          <w:sz w:val="32"/>
          <w:szCs w:val="32"/>
          <w:lang w:val="en-US" w:eastAsia="zh-CN" w:bidi="ar"/>
        </w:rPr>
        <w:t>一、时间</w:t>
      </w:r>
    </w:p>
    <w:p w14:paraId="0A1598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笔试：5月20日10:30至11:30</w:t>
      </w:r>
    </w:p>
    <w:p w14:paraId="276BAD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面试：5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月20日14:30</w:t>
      </w:r>
    </w:p>
    <w:p w14:paraId="5EFA80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心理测试：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5月19日19:00至5月20日19:00</w:t>
      </w:r>
    </w:p>
    <w:p w14:paraId="161A3E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二、地点</w:t>
      </w:r>
    </w:p>
    <w:p w14:paraId="3A56A3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太白湖校区教学楼631报告厅；日照校区办公楼0911会议室</w:t>
      </w:r>
    </w:p>
    <w:p w14:paraId="18F103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因特殊原因无法线下应试的学生可申请线上应试，并做出书面说明，经学院审核批准后，由辅导员于5月19日前将纸质材料提交至团委（笔试腾讯会议号：453375839、面试腾讯会议号：260216411）</w:t>
      </w:r>
    </w:p>
    <w:p w14:paraId="57F5302A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auto"/>
        <w:rPr>
          <w:rFonts w:hint="default" w:ascii="黑体" w:hAnsi="宋体" w:eastAsia="黑体" w:cs="黑体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黑体" w:hAnsi="宋体" w:eastAsia="黑体" w:cs="黑体"/>
          <w:kern w:val="2"/>
          <w:sz w:val="32"/>
          <w:szCs w:val="32"/>
          <w:lang w:val="en-US" w:eastAsia="zh-CN" w:bidi="ar"/>
        </w:rPr>
        <w:t>三、应试人员</w:t>
      </w:r>
    </w:p>
    <w:p w14:paraId="5EF233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详见《报名汇总表》（将单独发至相关学院团总支负责人）</w:t>
      </w:r>
    </w:p>
    <w:p w14:paraId="723C9E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四、注意事项</w:t>
      </w:r>
    </w:p>
    <w:p w14:paraId="7409F8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（一）笔试环节</w:t>
      </w:r>
    </w:p>
    <w:p w14:paraId="7207EB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线下笔试人员提前15分钟到达指定考场（太白湖校区教学楼631报告厅、日照校区办公楼0911会议室）。入场时要携带本人身份证、学生证或校园卡等有效证件，经工作人员查验后进入考场，考场内禁止携带各种通讯工具、电子存储记忆录放设备等物品。</w:t>
      </w:r>
    </w:p>
    <w:p w14:paraId="2A64FB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线上笔试人员认真查看《学习通App考试操作说明》（见附件2），需准备两台打开摄像和语音权限的电子设备，设备1用于登录学习通进行考试作答，设备2用于监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考。需要提前15分钟进入腾讯会议，调整摄像头打开麦克风，从考生斜后方45度进行拍摄，设备2拍摄画面应包含考试作答设备界面和笔试者的上半身像。</w:t>
      </w:r>
    </w:p>
    <w:p w14:paraId="0C400F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考试过程中存在作弊现象者，一经发现将取消推荐资格并全校通报。未在规定时间内参加笔试者视为弃权并取消推荐资格。</w:t>
      </w:r>
    </w:p>
    <w:p w14:paraId="7AC8D5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（二）面试环节</w:t>
      </w:r>
    </w:p>
    <w:p w14:paraId="7D8D60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面试顺序以参加面试人员姓氏笔画为序，并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按腾讯会议、日照校区和太白湖校区顺序进行。面试学生须着正装（男生着浅色衬衣），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携带本人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身份证、学生证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或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校园卡等有效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证件，提前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分钟到达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面试集合地点或进入（太白湖校区教学楼612教室、日照校区办公楼1013室。线上面试者须提前15分钟进入腾讯会议室，调整摄像头，面试过程取上半身像，发言时打开麦克风）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未在规定时间内参加面试者视为弃权并取消推荐资格。</w:t>
      </w:r>
    </w:p>
    <w:p w14:paraId="60D739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面试主要流程如下：</w:t>
      </w:r>
    </w:p>
    <w:p w14:paraId="45FAE8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3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1.自我介绍。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面试人员结合自身实际，介绍在校期间担任学生职务、学习成绩、志愿服务、报名动机、意向服务地等情况，</w:t>
      </w: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  <w:lang w:val="en-US" w:eastAsia="zh-CN"/>
        </w:rPr>
        <w:t>时长控制在2分钟以内。</w:t>
      </w:r>
    </w:p>
    <w:p w14:paraId="281EEF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2.提问环节。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专家根据面试人员情况进行提问，回答问题时长控制在3分钟以内。</w:t>
      </w:r>
    </w:p>
    <w:p w14:paraId="557B50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3.综合赋分。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专家根据自我介绍和提问回答情况综合打分。</w:t>
      </w:r>
    </w:p>
    <w:p w14:paraId="2699AD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（三）心理测试环节</w:t>
      </w:r>
    </w:p>
    <w:p w14:paraId="21E4DA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在规定时间（5月19日19:00至5月20日19:00）内，由应试者本人线上作答，具体步骤如下：</w:t>
      </w:r>
    </w:p>
    <w:p w14:paraId="26E2BE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登录本人微信→搜索“智慧济医”并绑定→进入“心理健康服务”→点击底部菜单栏“登录系统”→进入“心理素质教育平台”→点击“待办”即可查看系统推送的测评量表→按要求作答提交。</w:t>
      </w:r>
    </w:p>
    <w:p w14:paraId="025A7930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宋体" w:eastAsia="黑体" w:cs="黑体"/>
          <w:kern w:val="2"/>
          <w:sz w:val="32"/>
          <w:szCs w:val="32"/>
          <w:lang w:val="en-US" w:eastAsia="zh-CN" w:bidi="ar"/>
        </w:rPr>
        <w:t>五、相关要求</w:t>
      </w:r>
    </w:p>
    <w:p w14:paraId="015D5F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各学院根据《报名汇总表》核对笔试、面试人员信息，与学生本人及家长一对一沟通确认（不能按期毕业或报名后放弃参与的同学不再参加笔试、面试），于5月17日上午10:00前以学院为单位将《参加笔试、面试回执》（见附件1）电子版报送至指定邮箱，并通知参加笔试、面试的学生加入QQ群（群号：585885809，进群后以“学院+姓名”修改群昵称）。</w:t>
      </w:r>
    </w:p>
    <w:p w14:paraId="7FD1D8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2.线下笔试人员需自行携带黑色字迹的签字笔、铅笔、橡皮擦等必要的考试用品，按照试卷中的答题要求进行闭卷作答，在规定时间内完成题目。</w:t>
      </w:r>
    </w:p>
    <w:p w14:paraId="6D0B67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_GB2312" w:hAnsi="仿宋_GB2312" w:eastAsia="宋体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线上应试人员须自行配备符合要求的电子设备，完成网络环境检测及设备兼容性测试，确保操作系统、浏览器等软件配置符合考试要求。考试期间如因个人设备故障、网络异常、电力中断等非组织方原因导致考核中断或影响考核进程的，相关责任及后果由应试人员自行承担。</w:t>
      </w:r>
    </w:p>
    <w:p w14:paraId="5ECC8483"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560" w:lineRule="exact"/>
        <w:textAlignment w:val="auto"/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</w:rPr>
      </w:pPr>
    </w:p>
    <w:p w14:paraId="6900525D"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560" w:lineRule="exact"/>
        <w:textAlignment w:val="auto"/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</w:rPr>
      </w:pPr>
    </w:p>
    <w:p w14:paraId="615E9D2E"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560" w:lineRule="exact"/>
        <w:ind w:firstLine="664" w:firstLineChars="200"/>
        <w:textAlignment w:val="auto"/>
        <w:rPr>
          <w:rFonts w:hint="default" w:ascii="仿宋_GB2312" w:hAnsi="Times New Roman" w:eastAsia="仿宋_GB2312" w:cs="Times New Roman"/>
          <w:spacing w:val="6"/>
          <w:kern w:val="2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</w:rPr>
        <w:t>联系人：</w:t>
      </w: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  <w:lang w:val="en-US" w:eastAsia="zh-CN"/>
        </w:rPr>
        <w:t>汤赟瑞</w:t>
      </w: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  <w:lang w:eastAsia="zh-CN"/>
        </w:rPr>
        <w:t>（</w:t>
      </w: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  <w:lang w:val="en-US" w:eastAsia="zh-CN"/>
        </w:rPr>
        <w:t>电话：666691</w:t>
      </w: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  <w:lang w:eastAsia="zh-CN"/>
        </w:rPr>
        <w:t>）</w:t>
      </w: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  <w:lang w:val="en-US" w:eastAsia="zh-CN"/>
        </w:rPr>
        <w:t>/孙安康（电话：622596）</w:t>
      </w:r>
    </w:p>
    <w:p w14:paraId="3A3DDC75"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560" w:lineRule="exact"/>
        <w:ind w:firstLine="664" w:firstLineChars="200"/>
        <w:textAlignment w:val="auto"/>
        <w:rPr>
          <w:rFonts w:hint="eastAsia" w:ascii="仿宋_GB2312" w:eastAsia="仿宋_GB2312"/>
          <w:spacing w:val="6"/>
          <w:sz w:val="32"/>
          <w:szCs w:val="32"/>
        </w:rPr>
      </w:pP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  <w:lang w:val="en-US" w:eastAsia="zh-CN"/>
        </w:rPr>
        <w:t>邮  箱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instrText xml:space="preserve"> HYPERLINK "mailto:3259288627@qq.com" </w:instrTex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1462055414@qq.com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fldChar w:fldCharType="end"/>
      </w:r>
    </w:p>
    <w:p w14:paraId="30732CEF"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560" w:lineRule="exact"/>
        <w:ind w:firstLine="664" w:firstLineChars="200"/>
        <w:textAlignment w:val="auto"/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pacing w:val="6"/>
          <w:sz w:val="32"/>
          <w:szCs w:val="32"/>
        </w:rPr>
        <w:t>附</w:t>
      </w:r>
      <w:r>
        <w:rPr>
          <w:rFonts w:hint="eastAsia" w:ascii="仿宋_GB2312" w:eastAsia="仿宋_GB2312"/>
          <w:spacing w:val="6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pacing w:val="6"/>
          <w:sz w:val="32"/>
          <w:szCs w:val="32"/>
        </w:rPr>
        <w:t>件</w:t>
      </w: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</w:rPr>
        <w:t>：</w:t>
      </w: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  <w:lang w:val="en-US" w:eastAsia="zh-CN"/>
        </w:rPr>
        <w:t>1.参加笔试、面试回执</w:t>
      </w:r>
    </w:p>
    <w:p w14:paraId="7316B370"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560" w:lineRule="exact"/>
        <w:ind w:firstLine="664" w:firstLineChars="200"/>
        <w:textAlignment w:val="auto"/>
        <w:rPr>
          <w:rFonts w:hint="default" w:ascii="仿宋_GB2312" w:hAnsi="Times New Roman" w:eastAsia="仿宋_GB2312" w:cs="Times New Roman"/>
          <w:spacing w:val="6"/>
          <w:kern w:val="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  <w:lang w:val="en-US" w:eastAsia="zh-CN"/>
        </w:rPr>
        <w:t xml:space="preserve">        2.学习通App考试操作说明</w:t>
      </w:r>
    </w:p>
    <w:p w14:paraId="5640E812">
      <w:pPr>
        <w:pStyle w:val="14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firstLine="0" w:firstLineChars="0"/>
        <w:jc w:val="both"/>
        <w:textAlignment w:val="auto"/>
        <w:rPr>
          <w:rFonts w:ascii="仿宋_GB2312" w:eastAsia="仿宋_GB2312"/>
          <w:spacing w:val="6"/>
          <w:sz w:val="32"/>
          <w:szCs w:val="32"/>
        </w:rPr>
      </w:pPr>
    </w:p>
    <w:p w14:paraId="328CFB43">
      <w:pPr>
        <w:pStyle w:val="14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firstLine="0" w:firstLineChars="0"/>
        <w:jc w:val="both"/>
        <w:textAlignment w:val="auto"/>
        <w:rPr>
          <w:rFonts w:ascii="仿宋_GB2312" w:eastAsia="仿宋_GB2312"/>
          <w:spacing w:val="6"/>
          <w:sz w:val="32"/>
          <w:szCs w:val="32"/>
        </w:rPr>
      </w:pPr>
    </w:p>
    <w:p w14:paraId="5E2CE417">
      <w:pPr>
        <w:pStyle w:val="14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left="283" w:leftChars="135" w:right="1328" w:firstLine="1328" w:firstLineChars="400"/>
        <w:jc w:val="right"/>
        <w:textAlignment w:val="auto"/>
        <w:rPr>
          <w:rFonts w:ascii="仿宋_GB2312" w:eastAsia="仿宋_GB2312"/>
          <w:spacing w:val="6"/>
          <w:sz w:val="32"/>
          <w:szCs w:val="32"/>
        </w:rPr>
      </w:pPr>
      <w:r>
        <w:rPr>
          <w:rFonts w:hint="eastAsia" w:ascii="仿宋_GB2312" w:eastAsia="仿宋_GB2312"/>
          <w:spacing w:val="6"/>
          <w:sz w:val="32"/>
          <w:szCs w:val="32"/>
        </w:rPr>
        <w:t>团</w:t>
      </w:r>
      <w:r>
        <w:rPr>
          <w:rFonts w:ascii="仿宋_GB2312" w:hAnsi="仿宋_GB2312" w:eastAsia="仿宋_GB2312" w:cs="仿宋_GB2312"/>
          <w:sz w:val="32"/>
          <w:szCs w:val="32"/>
        </w:rPr>
        <w:t>委</w:t>
      </w:r>
    </w:p>
    <w:p w14:paraId="4D2577BE"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560" w:lineRule="exact"/>
        <w:ind w:left="1991" w:leftChars="790" w:hanging="332" w:hangingChars="100"/>
        <w:textAlignment w:val="auto"/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</w:rPr>
        <w:sectPr>
          <w:footerReference r:id="rId3" w:type="default"/>
          <w:pgSz w:w="11906" w:h="16838"/>
          <w:pgMar w:top="1361" w:right="1644" w:bottom="1361" w:left="164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eastAsia="仿宋_GB2312"/>
          <w:spacing w:val="6"/>
          <w:sz w:val="32"/>
          <w:szCs w:val="32"/>
        </w:rPr>
        <w:t xml:space="preserve">                       </w:t>
      </w: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</w:rPr>
        <w:t>20</w:t>
      </w:r>
      <w:r>
        <w:rPr>
          <w:rFonts w:ascii="仿宋_GB2312" w:hAnsi="Times New Roman" w:eastAsia="仿宋_GB2312" w:cs="Times New Roman"/>
          <w:spacing w:val="6"/>
          <w:kern w:val="2"/>
          <w:sz w:val="32"/>
          <w:szCs w:val="32"/>
        </w:rPr>
        <w:t>2</w:t>
      </w: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  <w:lang w:val="en-US" w:eastAsia="zh-CN"/>
        </w:rPr>
        <w:t>5年5月14</w:t>
      </w: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</w:rPr>
        <w:t>日</w:t>
      </w:r>
    </w:p>
    <w:p w14:paraId="2E1E05B2"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560" w:lineRule="exact"/>
        <w:jc w:val="both"/>
        <w:textAlignment w:val="auto"/>
        <w:rPr>
          <w:rFonts w:hint="default" w:ascii="黑体" w:hAnsi="黑体" w:eastAsia="黑体" w:cs="黑体"/>
          <w:spacing w:val="6"/>
          <w:kern w:val="2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pacing w:val="6"/>
          <w:kern w:val="2"/>
          <w:sz w:val="30"/>
          <w:szCs w:val="30"/>
          <w:lang w:val="en-US" w:eastAsia="zh-CN"/>
        </w:rPr>
        <w:t>附件1</w:t>
      </w:r>
    </w:p>
    <w:p w14:paraId="459386DB"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560" w:lineRule="exact"/>
        <w:jc w:val="center"/>
        <w:textAlignment w:val="auto"/>
        <w:rPr>
          <w:rFonts w:hint="default" w:ascii="仿宋_GB2312" w:hAnsi="Times New Roman" w:eastAsia="仿宋_GB2312" w:cs="Times New Roman"/>
          <w:spacing w:val="6"/>
          <w:kern w:val="2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6"/>
          <w:kern w:val="2"/>
          <w:sz w:val="36"/>
          <w:szCs w:val="36"/>
          <w:lang w:val="en-US" w:eastAsia="zh-CN"/>
        </w:rPr>
        <w:t>参加笔试、面试回执</w:t>
      </w:r>
    </w:p>
    <w:tbl>
      <w:tblPr>
        <w:tblStyle w:val="7"/>
        <w:tblW w:w="110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3"/>
        <w:gridCol w:w="1175"/>
        <w:gridCol w:w="2031"/>
        <w:gridCol w:w="1885"/>
        <w:gridCol w:w="1550"/>
        <w:gridCol w:w="1840"/>
        <w:gridCol w:w="1764"/>
      </w:tblGrid>
      <w:tr w14:paraId="3A175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13" w:type="dxa"/>
            <w:vAlign w:val="center"/>
          </w:tcPr>
          <w:p w14:paraId="29B6D6C1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b/>
                <w:bCs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175" w:type="dxa"/>
            <w:vAlign w:val="center"/>
          </w:tcPr>
          <w:p w14:paraId="3B578803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b/>
                <w:bCs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2031" w:type="dxa"/>
            <w:vAlign w:val="center"/>
          </w:tcPr>
          <w:p w14:paraId="13D17C6A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b/>
                <w:bCs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  <w:t>学号</w:t>
            </w:r>
          </w:p>
        </w:tc>
        <w:tc>
          <w:tcPr>
            <w:tcW w:w="1885" w:type="dxa"/>
            <w:vAlign w:val="center"/>
          </w:tcPr>
          <w:p w14:paraId="6424EB17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b/>
                <w:bCs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  <w:t>电话</w:t>
            </w:r>
          </w:p>
        </w:tc>
        <w:tc>
          <w:tcPr>
            <w:tcW w:w="1550" w:type="dxa"/>
            <w:vAlign w:val="center"/>
          </w:tcPr>
          <w:p w14:paraId="7D5AFE8C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b/>
                <w:bCs/>
                <w:spacing w:val="6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  <w:t>是否参加笔试、面试</w:t>
            </w:r>
          </w:p>
        </w:tc>
        <w:tc>
          <w:tcPr>
            <w:tcW w:w="1840" w:type="dxa"/>
            <w:vAlign w:val="center"/>
          </w:tcPr>
          <w:p w14:paraId="5BE0EE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b/>
                <w:bCs/>
                <w:spacing w:val="6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  <w:t>不参加笔试、面试原因</w:t>
            </w:r>
          </w:p>
        </w:tc>
        <w:tc>
          <w:tcPr>
            <w:tcW w:w="1764" w:type="dxa"/>
            <w:vAlign w:val="center"/>
          </w:tcPr>
          <w:p w14:paraId="4CB777F9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b/>
                <w:bCs/>
                <w:spacing w:val="6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  <w:t>面试地点</w:t>
            </w:r>
          </w:p>
        </w:tc>
      </w:tr>
      <w:tr w14:paraId="2A848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13" w:type="dxa"/>
            <w:vAlign w:val="center"/>
          </w:tcPr>
          <w:p w14:paraId="2F1575DE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color w:val="FF0000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FF0000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175" w:type="dxa"/>
            <w:vAlign w:val="center"/>
          </w:tcPr>
          <w:p w14:paraId="4980CBB8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color w:val="FF0000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FF0000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  <w:t>张**</w:t>
            </w:r>
          </w:p>
        </w:tc>
        <w:tc>
          <w:tcPr>
            <w:tcW w:w="2031" w:type="dxa"/>
            <w:vAlign w:val="center"/>
          </w:tcPr>
          <w:p w14:paraId="15D1A88B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color w:val="FF0000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FF0000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  <w:t>20200213****</w:t>
            </w:r>
          </w:p>
        </w:tc>
        <w:tc>
          <w:tcPr>
            <w:tcW w:w="1885" w:type="dxa"/>
            <w:vAlign w:val="center"/>
          </w:tcPr>
          <w:p w14:paraId="3E239FB0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color w:val="FF0000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FF0000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  <w:t>1516223****</w:t>
            </w:r>
          </w:p>
        </w:tc>
        <w:tc>
          <w:tcPr>
            <w:tcW w:w="1550" w:type="dxa"/>
            <w:vAlign w:val="center"/>
          </w:tcPr>
          <w:p w14:paraId="17944764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color w:val="FF0000"/>
                <w:spacing w:val="6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FF0000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  <w:t>是/否</w:t>
            </w:r>
          </w:p>
        </w:tc>
        <w:tc>
          <w:tcPr>
            <w:tcW w:w="1840" w:type="dxa"/>
            <w:vAlign w:val="center"/>
          </w:tcPr>
          <w:p w14:paraId="5C056A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color w:val="FF0000"/>
                <w:spacing w:val="6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764" w:type="dxa"/>
            <w:vAlign w:val="center"/>
          </w:tcPr>
          <w:p w14:paraId="08CD911D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color w:val="FF0000"/>
                <w:spacing w:val="6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FF0000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  <w:t>太白湖校区/日照校区/</w:t>
            </w:r>
            <w:r>
              <w:rPr>
                <w:rFonts w:hint="eastAsia" w:ascii="仿宋_GB2312" w:hAnsi="Times New Roman" w:eastAsia="仿宋_GB2312" w:cs="Times New Roman"/>
                <w:color w:val="FF0000"/>
                <w:spacing w:val="6"/>
                <w:kern w:val="2"/>
                <w:sz w:val="28"/>
                <w:szCs w:val="28"/>
                <w:highlight w:val="none"/>
                <w:vertAlign w:val="baseline"/>
                <w:lang w:val="en-US" w:eastAsia="zh-CN"/>
              </w:rPr>
              <w:t>线上</w:t>
            </w:r>
          </w:p>
        </w:tc>
      </w:tr>
      <w:tr w14:paraId="31A86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13" w:type="dxa"/>
            <w:vAlign w:val="center"/>
          </w:tcPr>
          <w:p w14:paraId="2B469AE0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75" w:type="dxa"/>
            <w:vAlign w:val="center"/>
          </w:tcPr>
          <w:p w14:paraId="27E54838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31" w:type="dxa"/>
            <w:vAlign w:val="center"/>
          </w:tcPr>
          <w:p w14:paraId="21604263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5" w:type="dxa"/>
            <w:vAlign w:val="center"/>
          </w:tcPr>
          <w:p w14:paraId="483DA3E9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50" w:type="dxa"/>
            <w:vAlign w:val="center"/>
          </w:tcPr>
          <w:p w14:paraId="7BDD67BB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40" w:type="dxa"/>
            <w:vAlign w:val="center"/>
          </w:tcPr>
          <w:p w14:paraId="75251F43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4" w:type="dxa"/>
            <w:vAlign w:val="center"/>
          </w:tcPr>
          <w:p w14:paraId="6606C8AA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607D4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13" w:type="dxa"/>
            <w:vAlign w:val="center"/>
          </w:tcPr>
          <w:p w14:paraId="5347DF30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75" w:type="dxa"/>
            <w:vAlign w:val="center"/>
          </w:tcPr>
          <w:p w14:paraId="139357CC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31" w:type="dxa"/>
            <w:vAlign w:val="center"/>
          </w:tcPr>
          <w:p w14:paraId="140AFDAC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5" w:type="dxa"/>
            <w:vAlign w:val="center"/>
          </w:tcPr>
          <w:p w14:paraId="6768D730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50" w:type="dxa"/>
            <w:vAlign w:val="center"/>
          </w:tcPr>
          <w:p w14:paraId="1AB0787E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40" w:type="dxa"/>
            <w:vAlign w:val="center"/>
          </w:tcPr>
          <w:p w14:paraId="45810D16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4" w:type="dxa"/>
            <w:vAlign w:val="center"/>
          </w:tcPr>
          <w:p w14:paraId="43468EEE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6FBD3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13" w:type="dxa"/>
            <w:vAlign w:val="center"/>
          </w:tcPr>
          <w:p w14:paraId="62B128B6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75" w:type="dxa"/>
            <w:vAlign w:val="center"/>
          </w:tcPr>
          <w:p w14:paraId="55004B78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31" w:type="dxa"/>
            <w:vAlign w:val="center"/>
          </w:tcPr>
          <w:p w14:paraId="37FBD10C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5" w:type="dxa"/>
            <w:vAlign w:val="center"/>
          </w:tcPr>
          <w:p w14:paraId="249A03A1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50" w:type="dxa"/>
            <w:vAlign w:val="center"/>
          </w:tcPr>
          <w:p w14:paraId="7E634559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40" w:type="dxa"/>
            <w:vAlign w:val="center"/>
          </w:tcPr>
          <w:p w14:paraId="730A713D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4" w:type="dxa"/>
            <w:vAlign w:val="center"/>
          </w:tcPr>
          <w:p w14:paraId="43660A61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7A254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13" w:type="dxa"/>
            <w:vAlign w:val="center"/>
          </w:tcPr>
          <w:p w14:paraId="2353A112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75" w:type="dxa"/>
            <w:vAlign w:val="center"/>
          </w:tcPr>
          <w:p w14:paraId="6729EE1A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31" w:type="dxa"/>
            <w:vAlign w:val="center"/>
          </w:tcPr>
          <w:p w14:paraId="5E4CFE76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5" w:type="dxa"/>
            <w:vAlign w:val="center"/>
          </w:tcPr>
          <w:p w14:paraId="0BE04A49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50" w:type="dxa"/>
            <w:vAlign w:val="center"/>
          </w:tcPr>
          <w:p w14:paraId="2C2AE73D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40" w:type="dxa"/>
            <w:vAlign w:val="center"/>
          </w:tcPr>
          <w:p w14:paraId="3FB4D240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4" w:type="dxa"/>
            <w:vAlign w:val="center"/>
          </w:tcPr>
          <w:p w14:paraId="6DBC5AE9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68B10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13" w:type="dxa"/>
            <w:vAlign w:val="center"/>
          </w:tcPr>
          <w:p w14:paraId="562ADAF8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75" w:type="dxa"/>
            <w:vAlign w:val="center"/>
          </w:tcPr>
          <w:p w14:paraId="3DA59D0B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31" w:type="dxa"/>
            <w:vAlign w:val="center"/>
          </w:tcPr>
          <w:p w14:paraId="1F77FCD4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5" w:type="dxa"/>
            <w:vAlign w:val="center"/>
          </w:tcPr>
          <w:p w14:paraId="05164175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50" w:type="dxa"/>
            <w:vAlign w:val="center"/>
          </w:tcPr>
          <w:p w14:paraId="01866D28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40" w:type="dxa"/>
            <w:vAlign w:val="center"/>
          </w:tcPr>
          <w:p w14:paraId="21529D8E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4" w:type="dxa"/>
            <w:vAlign w:val="center"/>
          </w:tcPr>
          <w:p w14:paraId="34921579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</w:tbl>
    <w:p w14:paraId="3AC601C7"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560" w:lineRule="exact"/>
        <w:jc w:val="center"/>
        <w:textAlignment w:val="auto"/>
        <w:rPr>
          <w:rFonts w:hint="default" w:ascii="仿宋_GB2312" w:hAnsi="Times New Roman" w:eastAsia="仿宋_GB2312" w:cs="Times New Roman"/>
          <w:spacing w:val="6"/>
          <w:kern w:val="2"/>
          <w:sz w:val="32"/>
          <w:szCs w:val="32"/>
          <w:lang w:val="en-US" w:eastAsia="zh-CN"/>
        </w:rPr>
      </w:pPr>
    </w:p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9A5A8EE2-E5AF-435A-BBE3-C5BD3D3DD85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4B79E3FB-4950-42FD-87D5-EF6D71B05BF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74F44007-C6C5-41E8-A0B3-9DF94ED26BF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52E741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0BF816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0BF816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00000000"/>
    <w:rsid w:val="00480107"/>
    <w:rsid w:val="012958F6"/>
    <w:rsid w:val="019B53E2"/>
    <w:rsid w:val="0298354F"/>
    <w:rsid w:val="084D1B76"/>
    <w:rsid w:val="0AEE7F98"/>
    <w:rsid w:val="0D204C06"/>
    <w:rsid w:val="0D7C3755"/>
    <w:rsid w:val="0DF554DC"/>
    <w:rsid w:val="12CF59B7"/>
    <w:rsid w:val="12F7257F"/>
    <w:rsid w:val="17C91E1B"/>
    <w:rsid w:val="1B376DDC"/>
    <w:rsid w:val="1CBC3BEF"/>
    <w:rsid w:val="20C97AED"/>
    <w:rsid w:val="23B15A66"/>
    <w:rsid w:val="28687605"/>
    <w:rsid w:val="299872CE"/>
    <w:rsid w:val="2AE70B7F"/>
    <w:rsid w:val="2B4C2649"/>
    <w:rsid w:val="2E3E6FCD"/>
    <w:rsid w:val="30F0233E"/>
    <w:rsid w:val="32CF783B"/>
    <w:rsid w:val="3CA1529C"/>
    <w:rsid w:val="3D8F1598"/>
    <w:rsid w:val="3D901C18"/>
    <w:rsid w:val="3E5C6DE2"/>
    <w:rsid w:val="3F0F1CD3"/>
    <w:rsid w:val="4506130D"/>
    <w:rsid w:val="4605564A"/>
    <w:rsid w:val="4A655B5A"/>
    <w:rsid w:val="4C5D35E5"/>
    <w:rsid w:val="4F7C5E20"/>
    <w:rsid w:val="559E46FA"/>
    <w:rsid w:val="55FD3221"/>
    <w:rsid w:val="565403B7"/>
    <w:rsid w:val="57140D07"/>
    <w:rsid w:val="57F55ADD"/>
    <w:rsid w:val="627604AD"/>
    <w:rsid w:val="63BC6393"/>
    <w:rsid w:val="64011C42"/>
    <w:rsid w:val="6486074F"/>
    <w:rsid w:val="653E6095"/>
    <w:rsid w:val="66DC42AD"/>
    <w:rsid w:val="66DD46B5"/>
    <w:rsid w:val="673F7221"/>
    <w:rsid w:val="68A61F64"/>
    <w:rsid w:val="6986230A"/>
    <w:rsid w:val="6CAD7647"/>
    <w:rsid w:val="6DCD34F2"/>
    <w:rsid w:val="6E4D739C"/>
    <w:rsid w:val="6E82450A"/>
    <w:rsid w:val="6F73167D"/>
    <w:rsid w:val="721E5274"/>
    <w:rsid w:val="73822BAA"/>
    <w:rsid w:val="739A7D73"/>
    <w:rsid w:val="74A84184"/>
    <w:rsid w:val="758551DD"/>
    <w:rsid w:val="770A55CB"/>
    <w:rsid w:val="780672FF"/>
    <w:rsid w:val="786B5170"/>
    <w:rsid w:val="79CB2E35"/>
    <w:rsid w:val="79E15DBB"/>
    <w:rsid w:val="7D055F19"/>
    <w:rsid w:val="7D9924EB"/>
    <w:rsid w:val="7E80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autoRedefine/>
    <w:qFormat/>
    <w:uiPriority w:val="0"/>
    <w:rPr>
      <w:b/>
    </w:rPr>
  </w:style>
  <w:style w:type="character" w:styleId="10">
    <w:name w:val="Hyperlink"/>
    <w:basedOn w:val="8"/>
    <w:autoRedefine/>
    <w:qFormat/>
    <w:uiPriority w:val="0"/>
    <w:rPr>
      <w:color w:val="0000FF"/>
      <w:u w:val="single"/>
    </w:rPr>
  </w:style>
  <w:style w:type="paragraph" w:customStyle="1" w:styleId="11">
    <w:name w:val="列出段落"/>
    <w:basedOn w:val="1"/>
    <w:autoRedefine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Calibri" w:hAnsi="Calibri" w:eastAsia="微软雅黑" w:cs="宋体"/>
      <w:kern w:val="2"/>
      <w:sz w:val="21"/>
      <w:szCs w:val="21"/>
      <w:lang w:val="en-US" w:eastAsia="zh-CN" w:bidi="ar"/>
    </w:rPr>
  </w:style>
  <w:style w:type="character" w:customStyle="1" w:styleId="12">
    <w:name w:val="font41"/>
    <w:basedOn w:val="8"/>
    <w:autoRedefine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3">
    <w:name w:val="font51"/>
    <w:basedOn w:val="8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customStyle="1" w:styleId="14">
    <w:name w:val="列出段落1"/>
    <w:basedOn w:val="1"/>
    <w:autoRedefine/>
    <w:qFormat/>
    <w:uiPriority w:val="0"/>
    <w:pPr>
      <w:autoSpaceDE w:val="0"/>
      <w:autoSpaceDN w:val="0"/>
      <w:ind w:left="1341" w:hanging="322"/>
      <w:jc w:val="left"/>
    </w:pPr>
    <w:rPr>
      <w:rFonts w:ascii="仿宋" w:hAnsi="仿宋" w:eastAsia="仿宋" w:cs="宋体"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1547</Words>
  <Characters>1705</Characters>
  <Lines>0</Lines>
  <Paragraphs>0</Paragraphs>
  <TotalTime>13</TotalTime>
  <ScaleCrop>false</ScaleCrop>
  <LinksUpToDate>false</LinksUpToDate>
  <CharactersWithSpaces>1740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2023-09-22T07:37:00Z</dcterms:created>
  <dc:creator>dell</dc:creator>
  <cp:lastModifiedBy>hallococo</cp:lastModifiedBy>
  <cp:lastPrinted>2024-05-22T09:28:00Z</cp:lastPrinted>
  <dcterms:modified xsi:type="dcterms:W3CDTF">2025-05-14T10:33:56Z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4E20B05A6DB446F3903FFC1BA0B7928F_13</vt:lpwstr>
  </property>
  <property fmtid="{D5CDD505-2E9C-101B-9397-08002B2CF9AE}" pid="4" name="KSOTemplateDocerSaveRecord">
    <vt:lpwstr>eyJoZGlkIjoiMGQ1MGNkODhhYmJiZTE2NjNjZjE1NGM5MjYyZjNiYTEiLCJ1c2VySWQiOiIzNjU1MTcxNTUifQ==</vt:lpwstr>
  </property>
</Properties>
</file>