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530A8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left="0" w:leftChars="0" w:right="0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pacing w:val="-1"/>
          <w:position w:val="-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1"/>
          <w:position w:val="-2"/>
          <w:sz w:val="44"/>
          <w:szCs w:val="44"/>
        </w:rPr>
        <w:t>关于济宁医学院“第二课堂成绩单”制度</w:t>
      </w:r>
    </w:p>
    <w:p w14:paraId="5F329B4A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left="0" w:leftChars="0" w:right="0"/>
        <w:jc w:val="center"/>
        <w:textAlignment w:val="auto"/>
        <w:outlineLvl w:val="0"/>
        <w:rPr>
          <w:rFonts w:hint="default" w:ascii="Arial"/>
          <w:sz w:val="21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pacing w:val="-7"/>
          <w:position w:val="-2"/>
          <w:sz w:val="44"/>
          <w:szCs w:val="44"/>
        </w:rPr>
        <w:t>补充</w:t>
      </w:r>
      <w:r>
        <w:rPr>
          <w:rFonts w:hint="eastAsia" w:ascii="方正小标宋简体" w:hAnsi="方正小标宋简体" w:eastAsia="方正小标宋简体" w:cs="方正小标宋简体"/>
          <w:spacing w:val="-7"/>
          <w:position w:val="-2"/>
          <w:sz w:val="44"/>
          <w:szCs w:val="44"/>
          <w:lang w:val="en-US" w:eastAsia="zh-CN"/>
        </w:rPr>
        <w:t>规定的通知</w:t>
      </w:r>
    </w:p>
    <w:p w14:paraId="4AEF12C6"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bidi w:val="0"/>
        <w:adjustRightInd w:val="0"/>
        <w:snapToGrid w:val="0"/>
        <w:spacing w:line="560" w:lineRule="exact"/>
        <w:ind w:left="0" w:leftChars="0" w:right="0"/>
        <w:textAlignment w:val="auto"/>
        <w:rPr>
          <w:rFonts w:hint="eastAsia" w:ascii="仿宋_GB2312" w:hAnsi="仿宋_GB2312" w:eastAsia="仿宋_GB2312" w:cs="仿宋_GB2312"/>
          <w:spacing w:val="4"/>
          <w:sz w:val="32"/>
          <w:szCs w:val="32"/>
        </w:rPr>
      </w:pPr>
    </w:p>
    <w:p w14:paraId="6FE65F13"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/>
        <w:jc w:val="both"/>
        <w:textAlignment w:val="auto"/>
        <w:rPr>
          <w:rFonts w:hint="eastAsia" w:ascii="仿宋_GB2312" w:hAnsi="仿宋_GB2312" w:eastAsia="仿宋_GB2312" w:cs="仿宋_GB2312"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各学院：</w:t>
      </w:r>
    </w:p>
    <w:p w14:paraId="5503A2A9"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firstLine="62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/>
        </w:rPr>
        <w:t>为进一步完善“第二课堂成绩单”制度，规范学分认定与管理工作，根据《济宁医学院“第二课堂成绩单”制度实施办法（修订）》（济医院字〔2022〕52号）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eastAsia="zh-CN"/>
        </w:rPr>
        <w:t>相关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>要求，现将补充规定通知如下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eastAsia="zh-CN"/>
        </w:rPr>
        <w:t>：</w:t>
      </w:r>
    </w:p>
    <w:p w14:paraId="46C7ED5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664" w:firstLineChars="200"/>
        <w:jc w:val="both"/>
        <w:textAlignment w:val="auto"/>
        <w:rPr>
          <w:rFonts w:hint="eastAsia" w:ascii="黑体" w:hAnsi="黑体" w:eastAsia="黑体" w:cs="黑体"/>
          <w:spacing w:val="6"/>
          <w:sz w:val="32"/>
          <w:szCs w:val="31"/>
          <w:lang w:val="en-US" w:eastAsia="zh-CN"/>
        </w:rPr>
      </w:pPr>
      <w:r>
        <w:rPr>
          <w:rFonts w:hint="eastAsia" w:ascii="黑体" w:hAnsi="黑体" w:eastAsia="黑体" w:cs="黑体"/>
          <w:spacing w:val="6"/>
          <w:sz w:val="32"/>
          <w:szCs w:val="31"/>
          <w:lang w:val="en-US" w:eastAsia="zh-CN"/>
        </w:rPr>
        <w:t>一、学分修读管理细则</w:t>
      </w:r>
    </w:p>
    <w:p w14:paraId="251DFC9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664" w:firstLineChars="200"/>
        <w:jc w:val="both"/>
        <w:textAlignment w:val="auto"/>
        <w:rPr>
          <w:rFonts w:hint="eastAsia" w:ascii="楷体_GB2312" w:hAnsi="楷体_GB2312" w:eastAsia="楷体_GB2312" w:cs="楷体_GB2312"/>
          <w:spacing w:val="6"/>
          <w:sz w:val="32"/>
          <w:szCs w:val="31"/>
          <w:lang w:val="en-US" w:eastAsia="zh-CN"/>
        </w:rPr>
      </w:pPr>
      <w:r>
        <w:rPr>
          <w:rFonts w:hint="eastAsia" w:ascii="楷体_GB2312" w:hAnsi="楷体_GB2312" w:eastAsia="楷体_GB2312" w:cs="楷体_GB2312"/>
          <w:spacing w:val="6"/>
          <w:sz w:val="32"/>
          <w:szCs w:val="31"/>
          <w:lang w:val="en-US" w:eastAsia="zh-CN"/>
        </w:rPr>
        <w:t>（一）课程项目学分认定</w:t>
      </w:r>
    </w:p>
    <w:p w14:paraId="27EF8BA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学生参加院级及以上活动，经学院初审、学校复审通过后，每次可获得0.05学分，该学分纳入德育教育实践类、文学艺术实践类、体育实践类对应课程项目学分统计。</w:t>
      </w:r>
    </w:p>
    <w:p w14:paraId="377B58D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664" w:firstLineChars="200"/>
        <w:jc w:val="both"/>
        <w:textAlignment w:val="auto"/>
        <w:rPr>
          <w:rFonts w:hint="default" w:ascii="楷体_GB2312" w:hAnsi="楷体_GB2312" w:eastAsia="楷体_GB2312" w:cs="楷体_GB2312"/>
          <w:spacing w:val="6"/>
          <w:sz w:val="32"/>
          <w:szCs w:val="31"/>
          <w:lang w:val="en-US" w:eastAsia="zh-CN"/>
        </w:rPr>
      </w:pPr>
      <w:r>
        <w:rPr>
          <w:rFonts w:hint="eastAsia" w:ascii="楷体_GB2312" w:hAnsi="楷体_GB2312" w:eastAsia="楷体_GB2312" w:cs="楷体_GB2312"/>
          <w:spacing w:val="6"/>
          <w:sz w:val="32"/>
          <w:szCs w:val="31"/>
          <w:lang w:val="en-US" w:eastAsia="zh-CN"/>
        </w:rPr>
        <w:t>（二）体育实践类学分认定</w:t>
      </w:r>
      <w:bookmarkStart w:id="0" w:name="_GoBack"/>
      <w:bookmarkEnd w:id="0"/>
    </w:p>
    <w:p w14:paraId="400A97E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学生早操达到全勤标准（含特殊情况合规请假），由学院组织申报，经5个工作日公示无异议后，提交学生工作处审核。学校于每年9月为符合条件的学生统一赋予0.3学分，计入体育实践类课程项目认定。</w:t>
      </w:r>
    </w:p>
    <w:p w14:paraId="3885254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664" w:firstLineChars="200"/>
        <w:jc w:val="both"/>
        <w:textAlignment w:val="auto"/>
        <w:rPr>
          <w:rFonts w:hint="eastAsia" w:ascii="楷体_GB2312" w:hAnsi="楷体_GB2312" w:eastAsia="楷体_GB2312" w:cs="楷体_GB2312"/>
          <w:spacing w:val="6"/>
          <w:sz w:val="32"/>
          <w:szCs w:val="31"/>
          <w:lang w:val="en-US" w:eastAsia="zh-CN"/>
        </w:rPr>
      </w:pPr>
      <w:r>
        <w:rPr>
          <w:rFonts w:hint="eastAsia" w:ascii="楷体_GB2312" w:hAnsi="楷体_GB2312" w:eastAsia="楷体_GB2312" w:cs="楷体_GB2312"/>
          <w:spacing w:val="6"/>
          <w:sz w:val="32"/>
          <w:szCs w:val="31"/>
          <w:lang w:val="en-US" w:eastAsia="zh-CN"/>
        </w:rPr>
        <w:t>（三）学分免修管理​</w:t>
      </w:r>
    </w:p>
    <w:p w14:paraId="7610F29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免修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条件</w:t>
      </w:r>
    </w:p>
    <w:p w14:paraId="2F09426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本科生在校期间，符合以下情形之一者，可申请免修“第二课堂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成绩单”相应课程项目学分，免修课程项目学分按达标成绩计入成绩单。</w:t>
      </w:r>
    </w:p>
    <w:p w14:paraId="3A5822B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身体特殊情况学生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因身体残疾或器质性疾病，经专业医学评估无法完成正常体育实践活动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的，可申请免修体育实践类课程项目学分。需提供由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具有资质的伤残等级鉴定机构出具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伤残证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或三甲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医院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出具的疾病诊断证明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病历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资料，以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明确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不适宜参与体育实践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活动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的医嘱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4D8BCDB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退役复学学生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服役期满退役后返校继续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业的本科生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，可申请免修所有模块学分，需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提供由中国人民解放军或中国人民武装警察部队颁发的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《退出现役证》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原件及复印件。</w:t>
      </w:r>
    </w:p>
    <w:p w14:paraId="621120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2.办理流程</w:t>
      </w:r>
    </w:p>
    <w:p w14:paraId="604C46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（1）学生申请。每年9月学校开展学分认定期间，学生需向所在学院提交书面《“第二课堂成绩单”免修学分申请表》（见附件1），并附对应证明材料。</w:t>
      </w:r>
    </w:p>
    <w:p w14:paraId="0B18F1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学院审核。学院“第二课堂成绩单”制度实施工作组对申报材料进行审核，重点核查材料真实性、完整性及与免修条件的匹配性。审核通过后，将《“第二课堂成绩单”免修学分汇总表》（见附件2）电子版通过办公OA系统发送至团委，纸质版申请及证明材料报送至两校区团委办公室。</w:t>
      </w:r>
    </w:p>
    <w:p w14:paraId="40F788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3）学校复核。由团委联合教务处、学生工作处等部门组成复核小组，核查材料完整性与规范性、学生身份及学籍信息、政策适用条件符合性。复核通过后，向各学院反馈结果并登记备案，免修学分按达标成绩计入学生“第二课堂成绩单”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复核工作应在10个工作日内完成。</w:t>
      </w:r>
    </w:p>
    <w:p w14:paraId="15FC1C5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664" w:firstLineChars="200"/>
        <w:jc w:val="both"/>
        <w:textAlignment w:val="auto"/>
        <w:rPr>
          <w:rFonts w:hint="default" w:ascii="黑体" w:hAnsi="黑体" w:eastAsia="黑体" w:cs="黑体"/>
          <w:sz w:val="32"/>
          <w:szCs w:val="31"/>
          <w:lang w:val="en-US" w:eastAsia="zh-CN"/>
        </w:rPr>
      </w:pPr>
      <w:r>
        <w:rPr>
          <w:rFonts w:hint="eastAsia" w:ascii="黑体" w:hAnsi="黑体" w:eastAsia="黑体" w:cs="黑体"/>
          <w:spacing w:val="6"/>
          <w:sz w:val="32"/>
          <w:szCs w:val="31"/>
          <w:lang w:val="en-US" w:eastAsia="zh-CN"/>
        </w:rPr>
        <w:t>二、“第二课堂”活动获奖比例规定</w:t>
      </w:r>
    </w:p>
    <w:p w14:paraId="411B76D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664" w:firstLineChars="200"/>
        <w:jc w:val="both"/>
        <w:textAlignment w:val="auto"/>
        <w:rPr>
          <w:rFonts w:hint="eastAsia" w:ascii="楷体_GB2312" w:hAnsi="楷体_GB2312" w:eastAsia="楷体_GB2312" w:cs="楷体_GB2312"/>
          <w:spacing w:val="6"/>
          <w:sz w:val="32"/>
          <w:szCs w:val="31"/>
          <w:lang w:val="en-US" w:eastAsia="zh-CN"/>
        </w:rPr>
      </w:pPr>
      <w:r>
        <w:rPr>
          <w:rFonts w:hint="eastAsia" w:ascii="楷体_GB2312" w:hAnsi="楷体_GB2312" w:eastAsia="楷体_GB2312" w:cs="楷体_GB2312"/>
          <w:spacing w:val="6"/>
          <w:sz w:val="32"/>
          <w:szCs w:val="31"/>
          <w:lang w:val="en-US" w:eastAsia="zh-CN"/>
        </w:rPr>
        <w:t>（一）校级活动</w:t>
      </w:r>
    </w:p>
    <w:p w14:paraId="101634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个人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奖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获奖人数不超过参与人数的45%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团体奖获奖队伍不超过参与队伍的60%。</w:t>
      </w:r>
    </w:p>
    <w:p w14:paraId="0103D5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664" w:firstLineChars="200"/>
        <w:jc w:val="both"/>
        <w:textAlignment w:val="auto"/>
        <w:rPr>
          <w:rFonts w:hint="eastAsia" w:ascii="楷体_GB2312" w:hAnsi="楷体_GB2312" w:eastAsia="楷体_GB2312" w:cs="楷体_GB2312"/>
          <w:spacing w:val="6"/>
          <w:sz w:val="32"/>
          <w:szCs w:val="31"/>
          <w:lang w:val="en-US" w:eastAsia="zh-CN"/>
        </w:rPr>
      </w:pPr>
      <w:r>
        <w:rPr>
          <w:rFonts w:hint="eastAsia" w:ascii="楷体_GB2312" w:hAnsi="楷体_GB2312" w:eastAsia="楷体_GB2312" w:cs="楷体_GB2312"/>
          <w:spacing w:val="6"/>
          <w:sz w:val="32"/>
          <w:szCs w:val="31"/>
          <w:lang w:val="en-US" w:eastAsia="zh-CN"/>
        </w:rPr>
        <w:t>（二）</w:t>
      </w:r>
      <w:r>
        <w:rPr>
          <w:rFonts w:hint="default" w:ascii="楷体_GB2312" w:hAnsi="楷体_GB2312" w:eastAsia="楷体_GB2312" w:cs="楷体_GB2312"/>
          <w:spacing w:val="6"/>
          <w:sz w:val="32"/>
          <w:szCs w:val="31"/>
          <w:lang w:val="en-US" w:eastAsia="zh-CN"/>
        </w:rPr>
        <w:t>院级活动</w:t>
      </w:r>
    </w:p>
    <w:p w14:paraId="7DEB38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个人奖获奖人数不超过参与人数的50%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团体奖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获奖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队伍不超过参与队伍的70%。</w:t>
      </w:r>
    </w:p>
    <w:p w14:paraId="643F90F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664" w:firstLineChars="200"/>
        <w:jc w:val="both"/>
        <w:textAlignment w:val="auto"/>
        <w:rPr>
          <w:rFonts w:hint="eastAsia" w:ascii="黑体" w:hAnsi="黑体" w:eastAsia="黑体" w:cs="黑体"/>
          <w:spacing w:val="6"/>
          <w:sz w:val="32"/>
          <w:szCs w:val="31"/>
          <w:lang w:val="en-US" w:eastAsia="zh-CN"/>
        </w:rPr>
      </w:pPr>
      <w:r>
        <w:rPr>
          <w:rFonts w:hint="eastAsia" w:ascii="黑体" w:hAnsi="黑体" w:eastAsia="黑体" w:cs="黑体"/>
          <w:spacing w:val="6"/>
          <w:sz w:val="32"/>
          <w:szCs w:val="31"/>
          <w:lang w:val="en-US" w:eastAsia="zh-CN"/>
        </w:rPr>
        <w:t>三、审核流程优化</w:t>
      </w:r>
    </w:p>
    <w:p w14:paraId="3E7D2C8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为提高工作效率，“第二课堂成绩单”相关申请表实行电子版审核。各学院需提交经负责人签字并加盖学院公章的PDF版申请表至学校“第二课堂成绩单”管理服务中心指定邮箱（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 w:bidi="ar"/>
        </w:rPr>
        <w:t>济宁校区1011812214@qq.com；日照校区368813969@qq.com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），邮件主题格式为“XX学院+第二课堂申请表+日期”。纸质材料由各学院妥善留存，留存期限不少于5年，以备查验。</w:t>
      </w:r>
    </w:p>
    <w:p w14:paraId="44965D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 w:bidi="ar"/>
        </w:rPr>
        <w:t>本补充规定自发布之日起施行，由团委负责解释。</w:t>
      </w:r>
    </w:p>
    <w:p w14:paraId="10E262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8920F1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right="0" w:hanging="960" w:hangingChars="300"/>
        <w:jc w:val="both"/>
        <w:textAlignment w:val="auto"/>
        <w:rPr>
          <w:color w:val="auto"/>
          <w:sz w:val="32"/>
          <w:szCs w:val="32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 w:bidi="ar"/>
        </w:rPr>
        <w:t>附件：1.《“第二课堂成绩单”免修学分申请表》</w:t>
      </w:r>
    </w:p>
    <w:p w14:paraId="0DEC384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19" w:leftChars="152" w:right="0" w:firstLine="1280" w:firstLineChars="400"/>
        <w:jc w:val="both"/>
        <w:textAlignment w:val="auto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 w:bidi="ar"/>
        </w:rPr>
        <w:t>2.《“第二课堂成绩单”免修学分汇总表》</w:t>
      </w:r>
    </w:p>
    <w:p w14:paraId="53333F1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/>
        <w:jc w:val="center"/>
        <w:textAlignment w:val="auto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 w:bidi="ar"/>
        </w:rPr>
      </w:pPr>
    </w:p>
    <w:p w14:paraId="37F8068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/>
        <w:jc w:val="right"/>
        <w:textAlignment w:val="auto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 w:bidi="ar"/>
        </w:rPr>
      </w:pPr>
    </w:p>
    <w:p w14:paraId="774271E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center"/>
        <w:textAlignment w:val="auto"/>
        <w:rPr>
          <w:color w:val="auto"/>
          <w:sz w:val="32"/>
          <w:szCs w:val="32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 w:bidi="ar"/>
        </w:rPr>
        <w:t xml:space="preserve">                     团委</w:t>
      </w:r>
    </w:p>
    <w:p w14:paraId="103F58D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center"/>
        <w:textAlignment w:val="auto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 w:bidi="ar"/>
        </w:rPr>
        <w:t xml:space="preserve">                   2025年6月23日</w:t>
      </w:r>
    </w:p>
    <w:sectPr>
      <w:headerReference r:id="rId5" w:type="default"/>
      <w:footerReference r:id="rId6" w:type="default"/>
      <w:pgSz w:w="11906" w:h="16839"/>
      <w:pgMar w:top="1134" w:right="1361" w:bottom="1134" w:left="1361" w:header="0" w:footer="987" w:gutter="0"/>
      <w:pgNumType w:fmt="decimal"/>
      <w:cols w:space="720" w:num="1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3744A0">
    <w:pPr>
      <w:spacing w:line="169" w:lineRule="auto"/>
      <w:ind w:left="4381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3F7C79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3F7C79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000CE9"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0095DEE"/>
    <w:rsid w:val="200D3461"/>
    <w:rsid w:val="360D761E"/>
    <w:rsid w:val="3C1923B5"/>
    <w:rsid w:val="40470BD6"/>
    <w:rsid w:val="4A424536"/>
    <w:rsid w:val="517F60FD"/>
    <w:rsid w:val="681776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unhideWhenUsed="0" w:uiPriority="99" w:semiHidden="0" w:name="heading 1"/>
    <w:lsdException w:qFormat="1" w:uiPriority="0" w:semiHidden="0" w:name="heading 2"/>
    <w:lsdException w:qFormat="1" w:uiPriority="0" w:semiHidden="0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0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nhideWhenUsed="0" w:uiPriority="0" w:name="Normal Table"/>
    <w:lsdException w:unhideWhenUsed="0" w:uiPriority="99" w:semiHidden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nhideWhenUsed="0" w:uiPriority="99" w:semiHidden="0" w:name="Balloon Text"/>
    <w:lsdException w:unhideWhenUsed="0" w:uiPriority="9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Strong"/>
    <w:basedOn w:val="9"/>
    <w:qFormat/>
    <w:uiPriority w:val="0"/>
    <w:rPr>
      <w:b/>
    </w:rPr>
  </w:style>
  <w:style w:type="table" w:customStyle="1" w:styleId="11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1225</Words>
  <Characters>1286</Characters>
  <Lines>0</Lines>
  <Paragraphs>0</Paragraphs>
  <TotalTime>20</TotalTime>
  <ScaleCrop>false</ScaleCrop>
  <LinksUpToDate>false</LinksUpToDate>
  <CharactersWithSpaces>1326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2024-08-30T00:16:00Z</dcterms:created>
  <dc:creator>叶上初阳</dc:creator>
  <cp:lastModifiedBy>QQbaby</cp:lastModifiedBy>
  <dcterms:modified xsi:type="dcterms:W3CDTF">2025-06-23T08:59:36Z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2025-05-11T12:50:00Z</vt:filetime>
  </property>
  <property fmtid="{D5CDD505-2E9C-101B-9397-08002B2CF9AE}" pid="4" name="KSOTemplateDocerSaveRecord">
    <vt:lpwstr>eyJoZGlkIjoiMmUxODA2ZjQ3ZWViNTIxZjVhNWMxNzdkMWE0MDkwYWUiLCJ1c2VySWQiOiIzMDE3ODg2OTgifQ==</vt:lpwstr>
  </property>
  <property fmtid="{D5CDD505-2E9C-101B-9397-08002B2CF9AE}" pid="5" name="KSOProductBuildVer">
    <vt:lpwstr>2052-12.1.0.21541</vt:lpwstr>
  </property>
  <property fmtid="{D5CDD505-2E9C-101B-9397-08002B2CF9AE}" pid="6" name="ICV">
    <vt:lpwstr>28686B76D0E84F06A6D7DB17378322B4_13</vt:lpwstr>
  </property>
</Properties>
</file>