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BF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关于公布第十五届“挑战杯”山东省</w:t>
      </w:r>
    </w:p>
    <w:p w14:paraId="5A55B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大学生创业计划竞赛推荐参赛项目的通知</w:t>
      </w:r>
    </w:p>
    <w:p w14:paraId="470E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D1F8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各学院:</w:t>
      </w:r>
    </w:p>
    <w:p w14:paraId="16E0A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济宁医学院第十五届“挑战杯”大学生创业计划竞赛校级决赛已顺利结束。经校级复赛、首轮答辩及决赛终审答辩等环节综合评定，最终遴选出6个项目代表我校参加省级竞赛。现将推荐项目名单予以公布（见附件）。</w:t>
      </w:r>
    </w:p>
    <w:p w14:paraId="6D75B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请相关学院做好项目后续培育与指导工作，力争在省赛中取得优异成绩。</w:t>
      </w:r>
    </w:p>
    <w:p w14:paraId="24493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BF75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联系人：孙安康622596</w:t>
      </w:r>
    </w:p>
    <w:p w14:paraId="25807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F79E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附件：第十五届“挑战杯”大学生创业计划竞赛推荐参加省赛项目名单</w:t>
      </w:r>
    </w:p>
    <w:p w14:paraId="01086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39C3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F6CDA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团委</w:t>
      </w:r>
    </w:p>
    <w:p w14:paraId="7F45040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2026年3月23日   </w:t>
      </w:r>
    </w:p>
    <w:p w14:paraId="6922291D">
      <w:pP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page"/>
      </w:r>
    </w:p>
    <w:p w14:paraId="26634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01AA18A">
      <w:pPr>
        <w:spacing w:line="560" w:lineRule="exact"/>
        <w:rPr>
          <w:rFonts w:hint="eastAsia" w:ascii="黑体" w:hAnsi="宋体" w:eastAsia="黑体"/>
          <w:bCs/>
          <w:color w:val="000000"/>
          <w:sz w:val="32"/>
          <w:szCs w:val="32"/>
        </w:rPr>
      </w:pPr>
      <w:r>
        <w:rPr>
          <w:rFonts w:hint="eastAsia" w:ascii="黑体" w:hAnsi="宋体" w:eastAsia="黑体"/>
          <w:bCs/>
          <w:color w:val="000000"/>
          <w:sz w:val="32"/>
          <w:szCs w:val="32"/>
        </w:rPr>
        <w:t>附件</w:t>
      </w:r>
    </w:p>
    <w:p w14:paraId="39025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lang w:val="en-US" w:eastAsia="zh-CN"/>
        </w:rPr>
        <w:t>第十五届“挑战杯”大学生创业计划竞赛</w:t>
      </w:r>
    </w:p>
    <w:p w14:paraId="688C2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lang w:val="en-US" w:eastAsia="zh-CN"/>
        </w:rPr>
        <w:t>推荐参加省赛项目名单</w:t>
      </w:r>
    </w:p>
    <w:p w14:paraId="513C3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（按学院排序）</w:t>
      </w:r>
    </w:p>
    <w:tbl>
      <w:tblPr>
        <w:tblStyle w:val="5"/>
        <w:tblpPr w:leftFromText="180" w:rightFromText="180" w:vertAnchor="text" w:horzAnchor="page" w:tblpX="1894" w:tblpY="633"/>
        <w:tblOverlap w:val="never"/>
        <w:tblW w:w="8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4540"/>
        <w:gridCol w:w="2798"/>
      </w:tblGrid>
      <w:tr w14:paraId="0E00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12" w:type="dxa"/>
            <w:vAlign w:val="center"/>
          </w:tcPr>
          <w:p w14:paraId="79C31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540" w:type="dxa"/>
            <w:vAlign w:val="center"/>
          </w:tcPr>
          <w:p w14:paraId="01FC0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E6E1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所属学院</w:t>
            </w:r>
          </w:p>
        </w:tc>
      </w:tr>
      <w:tr w14:paraId="26D46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</w:trPr>
        <w:tc>
          <w:tcPr>
            <w:tcW w:w="1012" w:type="dxa"/>
            <w:vAlign w:val="center"/>
          </w:tcPr>
          <w:p w14:paraId="7822C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540" w:type="dxa"/>
            <w:vAlign w:val="center"/>
          </w:tcPr>
          <w:p w14:paraId="535F4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金鳞银羽·烯望无限——精准构建及可控合成的氧化石墨烯基贵金属纳米复合材料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5E07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临床医学院</w:t>
            </w:r>
          </w:p>
        </w:tc>
      </w:tr>
      <w:tr w14:paraId="2462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</w:trPr>
        <w:tc>
          <w:tcPr>
            <w:tcW w:w="1012" w:type="dxa"/>
            <w:vAlign w:val="center"/>
          </w:tcPr>
          <w:p w14:paraId="02DD8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4540" w:type="dxa"/>
            <w:vAlign w:val="center"/>
          </w:tcPr>
          <w:p w14:paraId="334BE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宁粘邦——新一代术后防粘连材料的开拓者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445DE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临床医学院</w:t>
            </w:r>
          </w:p>
        </w:tc>
      </w:tr>
      <w:tr w14:paraId="7BC8B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</w:trPr>
        <w:tc>
          <w:tcPr>
            <w:tcW w:w="1012" w:type="dxa"/>
            <w:vAlign w:val="center"/>
          </w:tcPr>
          <w:p w14:paraId="3277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4540" w:type="dxa"/>
            <w:vAlign w:val="center"/>
          </w:tcPr>
          <w:p w14:paraId="08941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智焕康臂——人机交互气动力学柔性康复治疗破局者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66CA20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精神卫生学院</w:t>
            </w:r>
          </w:p>
        </w:tc>
      </w:tr>
      <w:tr w14:paraId="023DD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</w:trPr>
        <w:tc>
          <w:tcPr>
            <w:tcW w:w="1012" w:type="dxa"/>
            <w:vAlign w:val="center"/>
          </w:tcPr>
          <w:p w14:paraId="17699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4540" w:type="dxa"/>
            <w:vAlign w:val="center"/>
          </w:tcPr>
          <w:p w14:paraId="3CA7E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精准“靶”控——双重响应肿瘤靶向药物载体开发与应用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690D2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药学院</w:t>
            </w:r>
          </w:p>
        </w:tc>
      </w:tr>
      <w:tr w14:paraId="3EAE0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</w:trPr>
        <w:tc>
          <w:tcPr>
            <w:tcW w:w="1012" w:type="dxa"/>
            <w:vAlign w:val="center"/>
          </w:tcPr>
          <w:p w14:paraId="6B387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4540" w:type="dxa"/>
            <w:vAlign w:val="center"/>
          </w:tcPr>
          <w:p w14:paraId="74B6D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量伤问迹——有限元分析赋能伤情鉴定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50A90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法医学院</w:t>
            </w:r>
          </w:p>
        </w:tc>
      </w:tr>
      <w:tr w14:paraId="4714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</w:trPr>
        <w:tc>
          <w:tcPr>
            <w:tcW w:w="1012" w:type="dxa"/>
            <w:vAlign w:val="center"/>
          </w:tcPr>
          <w:p w14:paraId="728AE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4540" w:type="dxa"/>
            <w:vAlign w:val="center"/>
          </w:tcPr>
          <w:p w14:paraId="0FF06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齿康新材——基于金属有机框架的 pH 响应型牙周智能敷药器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7C20C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口腔医学院</w:t>
            </w:r>
          </w:p>
        </w:tc>
      </w:tr>
    </w:tbl>
    <w:p w14:paraId="285BC203">
      <w:bookmarkStart w:id="0" w:name="_GoBack"/>
      <w:bookmarkEnd w:id="0"/>
    </w:p>
    <w:p w14:paraId="45DFF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BAFA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E8DFE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E8DFE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008F2"/>
    <w:rsid w:val="100A5B4F"/>
    <w:rsid w:val="28193568"/>
    <w:rsid w:val="284F6D06"/>
    <w:rsid w:val="32201A53"/>
    <w:rsid w:val="39D54280"/>
    <w:rsid w:val="3C621AEE"/>
    <w:rsid w:val="5D6B1565"/>
    <w:rsid w:val="6645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450</Characters>
  <Lines>0</Lines>
  <Paragraphs>0</Paragraphs>
  <TotalTime>12</TotalTime>
  <ScaleCrop>false</ScaleCrop>
  <LinksUpToDate>false</LinksUpToDate>
  <CharactersWithSpaces>496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2025-04-16T18:25:00Z</dcterms:created>
  <dc:creator>lenovo</dc:creator>
  <cp:lastModifiedBy>唐哲涵</cp:lastModifiedBy>
  <cp:lastPrinted>2025-04-17T06:55:00Z</cp:lastPrinted>
  <dcterms:modified xsi:type="dcterms:W3CDTF">2026-03-23T09:17:40Z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C2C409046EEF4F648C7A33D9ED87E93A_13</vt:lpwstr>
  </property>
  <property fmtid="{D5CDD505-2E9C-101B-9397-08002B2CF9AE}" pid="4" name="KSOTemplateDocerSaveRecord">
    <vt:lpwstr>eyJoZGlkIjoiOGJhMmRkNDk5MTE0NTIwMTg3ODA1ZTFlMGViNDk4ZTkiLCJ1c2VySWQiOiIyNTYxNzMwNDgifQ==</vt:lpwstr>
  </property>
</Properties>
</file>