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0C684">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济宁医学院仁济书院管理办法（试行）</w:t>
      </w:r>
    </w:p>
    <w:p w14:paraId="6A545EDC">
      <w:pPr>
        <w:spacing w:line="560" w:lineRule="exact"/>
        <w:jc w:val="center"/>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征求意见稿</w:t>
      </w:r>
      <w:r>
        <w:rPr>
          <w:rFonts w:hint="eastAsia" w:ascii="楷体_GB2312" w:hAnsi="楷体_GB2312" w:eastAsia="楷体_GB2312" w:cs="楷体_GB2312"/>
          <w:sz w:val="32"/>
          <w:szCs w:val="32"/>
          <w:lang w:eastAsia="zh-CN"/>
        </w:rPr>
        <w:t>）</w:t>
      </w:r>
    </w:p>
    <w:p w14:paraId="18BF18FC">
      <w:pPr>
        <w:spacing w:line="560" w:lineRule="exact"/>
        <w:jc w:val="center"/>
        <w:rPr>
          <w:rFonts w:ascii="方正小标宋简体" w:hAnsi="方正小标宋简体" w:eastAsia="方正小标宋简体" w:cs="方正小标宋简体"/>
          <w:sz w:val="44"/>
          <w:szCs w:val="44"/>
        </w:rPr>
      </w:pPr>
    </w:p>
    <w:p w14:paraId="613B325F">
      <w:pPr>
        <w:spacing w:line="560" w:lineRule="exact"/>
        <w:jc w:val="center"/>
        <w:rPr>
          <w:rFonts w:ascii="黑体" w:hAnsi="黑体" w:eastAsia="黑体" w:cs="黑体"/>
          <w:sz w:val="32"/>
          <w:szCs w:val="32"/>
        </w:rPr>
      </w:pPr>
      <w:bookmarkStart w:id="0" w:name="_GoBack"/>
      <w:bookmarkEnd w:id="0"/>
      <w:r>
        <w:rPr>
          <w:rFonts w:hint="eastAsia" w:ascii="黑体" w:hAnsi="黑体" w:eastAsia="黑体" w:cs="黑体"/>
          <w:sz w:val="32"/>
          <w:szCs w:val="32"/>
        </w:rPr>
        <w:t>第一章 总  则</w:t>
      </w:r>
    </w:p>
    <w:p w14:paraId="37085E06">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第一条 为贯彻落实立德树人根本任务，围绕学校建设高水平医科大学的目标与特色人才培养需求，探索书院制育人模式，特制定本办法。</w:t>
      </w:r>
    </w:p>
    <w:p w14:paraId="570BDB27">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第二条 仁济书院（以下简称“书院”）是济宁医学院设立的以学生成长为中心，集文化浸润、导师引领、学生自治于一体，融合线上与线下、实体与数字协同推进的第二课堂育人平台，致力于培养品德高尚、业务精湛、身心健康、全面发展的“新时代儒医”。</w:t>
      </w:r>
    </w:p>
    <w:p w14:paraId="7CE3523D">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第三条 书院面向全校师生开放，围绕“五立”育人体系，设置“仁心居”“明德堂”“格物轩”“日新台”“修身阁”五大功能区域和共享服务大厅，为师生提供思想引领、品德涵养、专业实践、科创赋能、人格塑造与综合服务的全维度育人空间。</w:t>
      </w:r>
    </w:p>
    <w:p w14:paraId="5E8747F2">
      <w:pPr>
        <w:spacing w:line="560" w:lineRule="exact"/>
        <w:jc w:val="center"/>
        <w:rPr>
          <w:rFonts w:hint="eastAsia" w:ascii="黑体" w:hAnsi="黑体" w:eastAsia="黑体" w:cs="黑体"/>
          <w:sz w:val="32"/>
          <w:szCs w:val="32"/>
        </w:rPr>
      </w:pPr>
    </w:p>
    <w:p w14:paraId="4902344C">
      <w:pPr>
        <w:spacing w:line="560" w:lineRule="exact"/>
        <w:jc w:val="center"/>
        <w:rPr>
          <w:rFonts w:ascii="黑体" w:hAnsi="黑体" w:eastAsia="黑体" w:cs="黑体"/>
          <w:sz w:val="32"/>
          <w:szCs w:val="32"/>
        </w:rPr>
      </w:pPr>
      <w:r>
        <w:rPr>
          <w:rFonts w:hint="eastAsia" w:ascii="黑体" w:hAnsi="黑体" w:eastAsia="黑体" w:cs="黑体"/>
          <w:sz w:val="32"/>
          <w:szCs w:val="32"/>
        </w:rPr>
        <w:t>第二章 组织架构及工作职责</w:t>
      </w:r>
    </w:p>
    <w:p w14:paraId="749D1F46">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第四条 书院设综合协调部、教学管理部、文化活动部。</w:t>
      </w:r>
    </w:p>
    <w:p w14:paraId="4AC5AE33">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第五条 主要职责</w:t>
      </w:r>
    </w:p>
    <w:p w14:paraId="1CB8B86A">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（一）综合协调部</w:t>
      </w:r>
    </w:p>
    <w:p w14:paraId="758784D5">
      <w:pPr>
        <w:spacing w:line="560" w:lineRule="exact"/>
        <w:ind w:firstLine="614"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贯彻落实国家和上级主管部门关于书院建设的政策要求，研究拟定学校书院发展规划、规章制度。</w:t>
      </w:r>
    </w:p>
    <w:p w14:paraId="5371F015">
      <w:pPr>
        <w:spacing w:line="560" w:lineRule="exact"/>
        <w:ind w:firstLine="614"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统筹协调书院活动的资源对接、经费使用与管理工作；负责</w:t>
      </w:r>
      <w:r>
        <w:rPr>
          <w:rFonts w:hint="eastAsia" w:ascii="仿宋_GB2312" w:hAnsi="仿宋_GB2312" w:eastAsia="仿宋_GB2312" w:cs="仿宋_GB2312"/>
          <w:sz w:val="32"/>
          <w:szCs w:val="32"/>
        </w:rPr>
        <w:t>书院场地</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设备</w:t>
      </w:r>
      <w:r>
        <w:rPr>
          <w:rFonts w:hint="eastAsia" w:ascii="仿宋_GB2312" w:hAnsi="仿宋_GB2312" w:eastAsia="仿宋_GB2312" w:cs="仿宋_GB2312"/>
          <w:sz w:val="32"/>
          <w:szCs w:val="32"/>
          <w:lang w:val="en-US" w:eastAsia="zh-CN"/>
        </w:rPr>
        <w:t>管理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审核协调</w:t>
      </w:r>
      <w:r>
        <w:rPr>
          <w:rFonts w:hint="eastAsia" w:ascii="仿宋_GB2312" w:hAnsi="仿宋_GB2312" w:eastAsia="仿宋_GB2312" w:cs="仿宋_GB2312"/>
          <w:sz w:val="32"/>
          <w:szCs w:val="32"/>
        </w:rPr>
        <w:t>各功能区的活动申报与资源配置</w:t>
      </w:r>
      <w:r>
        <w:rPr>
          <w:rFonts w:hint="eastAsia" w:ascii="仿宋_GB2312" w:hAnsi="仿宋_GB2312" w:eastAsia="仿宋_GB2312" w:cs="仿宋_GB2312"/>
          <w:sz w:val="32"/>
          <w:szCs w:val="32"/>
          <w:lang w:eastAsia="zh-CN"/>
        </w:rPr>
        <w:t>。</w:t>
      </w:r>
    </w:p>
    <w:p w14:paraId="1E7C06EF">
      <w:pPr>
        <w:spacing w:line="560" w:lineRule="exact"/>
        <w:ind w:firstLine="614"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val="en-US" w:eastAsia="zh-CN"/>
        </w:rPr>
        <w:t>书院</w:t>
      </w:r>
      <w:r>
        <w:rPr>
          <w:rFonts w:hint="eastAsia" w:ascii="仿宋_GB2312" w:hAnsi="仿宋_GB2312" w:eastAsia="仿宋_GB2312" w:cs="仿宋_GB2312"/>
          <w:sz w:val="32"/>
          <w:szCs w:val="32"/>
        </w:rPr>
        <w:t>学生</w:t>
      </w:r>
      <w:r>
        <w:rPr>
          <w:rFonts w:hint="eastAsia" w:ascii="仿宋_GB2312" w:hAnsi="仿宋_GB2312" w:eastAsia="仿宋_GB2312" w:cs="仿宋_GB2312"/>
          <w:sz w:val="32"/>
          <w:szCs w:val="32"/>
          <w:lang w:val="en-US" w:eastAsia="zh-CN"/>
        </w:rPr>
        <w:t>组织成员</w:t>
      </w:r>
      <w:r>
        <w:rPr>
          <w:rFonts w:hint="eastAsia" w:ascii="仿宋_GB2312" w:hAnsi="仿宋_GB2312" w:eastAsia="仿宋_GB2312" w:cs="仿宋_GB2312"/>
          <w:sz w:val="32"/>
          <w:szCs w:val="32"/>
        </w:rPr>
        <w:t>的招募、培养、管理</w:t>
      </w:r>
      <w:r>
        <w:rPr>
          <w:rFonts w:hint="eastAsia" w:ascii="仿宋_GB2312" w:hAnsi="仿宋_GB2312" w:eastAsia="仿宋_GB2312" w:cs="仿宋_GB2312"/>
          <w:sz w:val="32"/>
          <w:szCs w:val="32"/>
          <w:lang w:val="en-US" w:eastAsia="zh-CN"/>
        </w:rPr>
        <w:t>与</w:t>
      </w:r>
      <w:r>
        <w:rPr>
          <w:rFonts w:hint="eastAsia" w:ascii="仿宋_GB2312" w:hAnsi="仿宋_GB2312" w:eastAsia="仿宋_GB2312" w:cs="仿宋_GB2312"/>
          <w:sz w:val="32"/>
          <w:szCs w:val="32"/>
        </w:rPr>
        <w:t>考核工作</w:t>
      </w:r>
      <w:r>
        <w:rPr>
          <w:rFonts w:hint="eastAsia" w:ascii="仿宋_GB2312" w:hAnsi="仿宋_GB2312" w:eastAsia="仿宋_GB2312" w:cs="仿宋_GB2312"/>
          <w:sz w:val="32"/>
          <w:szCs w:val="32"/>
          <w:lang w:eastAsia="zh-CN"/>
        </w:rPr>
        <w:t>。</w:t>
      </w:r>
    </w:p>
    <w:p w14:paraId="5461AF4F">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（二）教学管理部</w:t>
      </w:r>
    </w:p>
    <w:p w14:paraId="428F5ED0">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.负责书院课程体系的规划、建设与质量监控，协助将相关专业实践活动融入专业人才培养方案。</w:t>
      </w:r>
    </w:p>
    <w:p w14:paraId="113527BC">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.统筹学校书院导师库建设，负责校内外导师的聘请、管理与考核工作。</w:t>
      </w:r>
    </w:p>
    <w:p w14:paraId="3F42066D">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highlight w:val="none"/>
        </w:rPr>
        <w:t>负责学生</w:t>
      </w:r>
      <w:r>
        <w:rPr>
          <w:rFonts w:hint="eastAsia" w:ascii="仿宋_GB2312" w:hAnsi="仿宋_GB2312" w:eastAsia="仿宋_GB2312" w:cs="仿宋_GB2312"/>
          <w:sz w:val="32"/>
          <w:szCs w:val="32"/>
          <w:highlight w:val="none"/>
          <w:lang w:val="en-US" w:eastAsia="zh-CN"/>
        </w:rPr>
        <w:t>参加书院</w:t>
      </w:r>
      <w:r>
        <w:rPr>
          <w:rFonts w:hint="eastAsia" w:ascii="仿宋_GB2312" w:hAnsi="仿宋_GB2312" w:eastAsia="仿宋_GB2312" w:cs="仿宋_GB2312"/>
          <w:sz w:val="32"/>
          <w:szCs w:val="32"/>
          <w:highlight w:val="none"/>
        </w:rPr>
        <w:t>活动</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学分认定</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审核及相关管理</w:t>
      </w:r>
      <w:r>
        <w:rPr>
          <w:rFonts w:hint="eastAsia" w:ascii="仿宋_GB2312" w:hAnsi="仿宋_GB2312" w:eastAsia="仿宋_GB2312" w:cs="仿宋_GB2312"/>
          <w:sz w:val="32"/>
          <w:szCs w:val="32"/>
        </w:rPr>
        <w:t>工作。</w:t>
      </w:r>
    </w:p>
    <w:p w14:paraId="62FD671A">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（三）文化活动部</w:t>
      </w:r>
    </w:p>
    <w:p w14:paraId="076EF073">
      <w:pPr>
        <w:keepNext w:val="0"/>
        <w:keepLines w:val="0"/>
        <w:pageBreakBefore w:val="0"/>
        <w:widowControl w:val="0"/>
        <w:kinsoku/>
        <w:wordWrap/>
        <w:overflowPunct/>
        <w:topLinePunct w:val="0"/>
        <w:autoSpaceDE/>
        <w:autoSpaceDN/>
        <w:bidi w:val="0"/>
        <w:adjustRightInd/>
        <w:snapToGrid/>
        <w:spacing w:line="560" w:lineRule="exact"/>
        <w:ind w:firstLine="614"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1.统筹书院品牌文化活动策划与实施，组织开展学术讲座、读书分享会、学术沙龙等品牌文化活动</w:t>
      </w:r>
      <w:r>
        <w:rPr>
          <w:rFonts w:hint="eastAsia" w:ascii="仿宋_GB2312" w:hAnsi="仿宋_GB2312" w:eastAsia="仿宋_GB2312" w:cs="仿宋_GB2312"/>
          <w:sz w:val="32"/>
          <w:szCs w:val="32"/>
          <w:lang w:eastAsia="zh-CN"/>
        </w:rPr>
        <w:t>。</w:t>
      </w:r>
    </w:p>
    <w:p w14:paraId="14C9F5B6">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2.挖掘书院文化内涵，营造积极向上、富有特色的书院文化氛围。</w:t>
      </w:r>
    </w:p>
    <w:p w14:paraId="5F0EF76F">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3.推动“数字书院”线上管理平台建设，拓展线上文化空间，推动线上线下文化活动协同开展。</w:t>
      </w:r>
    </w:p>
    <w:p w14:paraId="1349E480">
      <w:pPr>
        <w:spacing w:line="560" w:lineRule="exact"/>
        <w:jc w:val="center"/>
        <w:rPr>
          <w:rFonts w:hint="eastAsia" w:ascii="黑体" w:hAnsi="黑体" w:eastAsia="黑体" w:cs="黑体"/>
          <w:sz w:val="32"/>
          <w:szCs w:val="32"/>
        </w:rPr>
      </w:pPr>
    </w:p>
    <w:p w14:paraId="23748AAD">
      <w:pPr>
        <w:spacing w:line="560" w:lineRule="exact"/>
        <w:jc w:val="center"/>
        <w:rPr>
          <w:rFonts w:ascii="黑体" w:hAnsi="黑体" w:eastAsia="黑体" w:cs="黑体"/>
          <w:sz w:val="32"/>
          <w:szCs w:val="32"/>
        </w:rPr>
      </w:pPr>
      <w:r>
        <w:rPr>
          <w:rFonts w:hint="eastAsia" w:ascii="黑体" w:hAnsi="黑体" w:eastAsia="黑体" w:cs="黑体"/>
          <w:sz w:val="32"/>
          <w:szCs w:val="32"/>
        </w:rPr>
        <w:t>第三章 学生权利和义务</w:t>
      </w:r>
    </w:p>
    <w:p w14:paraId="48F8E228">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第六条 凡济宁医学院全日制在读学生（含研究生、留学生），认同本办法相关规定，自动加入书院；</w:t>
      </w:r>
    </w:p>
    <w:p w14:paraId="0F08F1E3">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第七条 学生享有以下权利</w:t>
      </w:r>
    </w:p>
    <w:p w14:paraId="6534490F">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（一）使用书院各类场地设施、课程资源及活动资源；</w:t>
      </w:r>
    </w:p>
    <w:p w14:paraId="21E3BC1D">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（二）自主选择参与书院各类学术、文化、科创、实践活动；</w:t>
      </w:r>
    </w:p>
    <w:p w14:paraId="38B45B15">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（三）获得导师的个性化指导与帮扶；</w:t>
      </w:r>
    </w:p>
    <w:p w14:paraId="7A171775">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（四）在书院活动中获得公正评价，考核合格者按修读工作坊课程或参加单次活动分别认定证书和第二课堂学分；</w:t>
      </w:r>
    </w:p>
    <w:p w14:paraId="62EBD3BF">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（五）参与书院管理与建设，对书院工作提出意见建议；</w:t>
      </w:r>
    </w:p>
    <w:p w14:paraId="0C272420">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（六）对书院的奖惩决定、学分认定结果等提出异议并申请复核。</w:t>
      </w:r>
    </w:p>
    <w:p w14:paraId="54A19C04">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第八条 学生应履行以下义务</w:t>
      </w:r>
    </w:p>
    <w:p w14:paraId="56EB2EBA">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（一）遵守国家法律法规、学校规章制度及书院相关章程；</w:t>
      </w:r>
    </w:p>
    <w:p w14:paraId="176C7748">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（二）积极参加书院活动，完成相应学习与实践任务；</w:t>
      </w:r>
    </w:p>
    <w:p w14:paraId="3728B33D">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（三）尊重导师，团结同学，积极参与书院集体建设；</w:t>
      </w:r>
    </w:p>
    <w:p w14:paraId="2F70F9D6">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（四）遵守场地使用规定，爱护场地设施，保持环境整洁；</w:t>
      </w:r>
    </w:p>
    <w:p w14:paraId="1C2D55F2">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（五）自觉维护书院声誉，不得从事损害书院利益的行为；</w:t>
      </w:r>
    </w:p>
    <w:p w14:paraId="1246D82B">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（六）配合书院完成学分认定、考核评价等相关工作。</w:t>
      </w:r>
    </w:p>
    <w:p w14:paraId="42DFA663">
      <w:pPr>
        <w:spacing w:line="560" w:lineRule="exact"/>
        <w:ind w:firstLine="614" w:firstLineChars="200"/>
        <w:rPr>
          <w:rFonts w:ascii="仿宋_GB2312" w:hAnsi="仿宋_GB2312" w:eastAsia="仿宋_GB2312" w:cs="仿宋_GB2312"/>
          <w:sz w:val="32"/>
          <w:szCs w:val="32"/>
        </w:rPr>
      </w:pPr>
    </w:p>
    <w:p w14:paraId="18FF09B8">
      <w:pPr>
        <w:spacing w:line="560" w:lineRule="exact"/>
        <w:jc w:val="center"/>
        <w:rPr>
          <w:rFonts w:ascii="黑体" w:hAnsi="黑体" w:eastAsia="黑体" w:cs="黑体"/>
          <w:sz w:val="32"/>
          <w:szCs w:val="32"/>
        </w:rPr>
      </w:pPr>
      <w:r>
        <w:rPr>
          <w:rFonts w:hint="eastAsia" w:ascii="黑体" w:hAnsi="黑体" w:eastAsia="黑体" w:cs="黑体"/>
          <w:sz w:val="32"/>
          <w:szCs w:val="32"/>
        </w:rPr>
        <w:t>第四章 行为准则</w:t>
      </w:r>
    </w:p>
    <w:p w14:paraId="0B24A4F3">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第九条 入场者应穿戴齐整、文明得体，尊师重道、团结友善，自觉维护书院良好育人氛围。</w:t>
      </w:r>
    </w:p>
    <w:p w14:paraId="17D8AE3C">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第十条 书院内禁止喧哗、打闹、吸烟、进食、乱扔杂物、乱写乱画等不文明行为。</w:t>
      </w:r>
    </w:p>
    <w:p w14:paraId="6EA0F0DC">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第十一条 书院内所有区域禁止占座，学生自习或参与活动时应自觉遵守秩序，安静文明交流，服从工作人员管理。</w:t>
      </w:r>
    </w:p>
    <w:p w14:paraId="2F45298D">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第十二条 进入书院各类功能区域需遵守相应规定，不从事与活动无关的事项；使用公共设施应相互礼让，避免冲突。不得擅自占用、挪动书院财物。</w:t>
      </w:r>
    </w:p>
    <w:p w14:paraId="0B57C2FE">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第十三条 对于违反行为准则者，工作人员有权进行批评教育；不听规劝者，有权劝离现场；造成不良影响或财产损失的，按学校相关规定处理。</w:t>
      </w:r>
    </w:p>
    <w:p w14:paraId="40E049AA">
      <w:pPr>
        <w:spacing w:line="560" w:lineRule="exact"/>
        <w:ind w:firstLine="614" w:firstLineChars="200"/>
        <w:rPr>
          <w:rFonts w:ascii="仿宋_GB2312" w:hAnsi="仿宋_GB2312" w:eastAsia="仿宋_GB2312" w:cs="仿宋_GB2312"/>
          <w:sz w:val="32"/>
          <w:szCs w:val="32"/>
        </w:rPr>
      </w:pPr>
    </w:p>
    <w:p w14:paraId="7776CBDB">
      <w:pPr>
        <w:spacing w:line="560" w:lineRule="exact"/>
        <w:jc w:val="center"/>
        <w:rPr>
          <w:rFonts w:ascii="黑体" w:hAnsi="黑体" w:eastAsia="黑体" w:cs="黑体"/>
          <w:sz w:val="32"/>
          <w:szCs w:val="32"/>
        </w:rPr>
      </w:pPr>
      <w:r>
        <w:rPr>
          <w:rFonts w:hint="eastAsia" w:ascii="黑体" w:hAnsi="黑体" w:eastAsia="黑体" w:cs="黑体"/>
          <w:sz w:val="32"/>
          <w:szCs w:val="32"/>
        </w:rPr>
        <w:t>第五章 场地管理</w:t>
      </w:r>
    </w:p>
    <w:p w14:paraId="23778D3E">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第十四条 书院面向全校师生开放，开放时间为：冬季8:00-12:00,14:00-21:30；夏季8:00-12:00,14:30-21:30（法定节假日及寒暑假除外）；特殊情况需经书院批准。</w:t>
      </w:r>
    </w:p>
    <w:p w14:paraId="3C724097">
      <w:pPr>
        <w:spacing w:line="560" w:lineRule="exact"/>
        <w:ind w:firstLine="614" w:firstLineChars="200"/>
        <w:rPr>
          <w:rFonts w:ascii="仿宋_GB2312" w:hAnsi="仿宋_GB2312" w:eastAsia="仿宋_GB2312" w:cs="仿宋_GB2312"/>
          <w:sz w:val="32"/>
          <w:szCs w:val="32"/>
        </w:rPr>
      </w:pPr>
      <w:r>
        <w:rPr>
          <w:rFonts w:ascii="仿宋_GB2312" w:hAnsi="仿宋_GB2312" w:eastAsia="仿宋_GB2312" w:cs="仿宋_GB2312"/>
          <w:sz w:val="32"/>
          <w:szCs w:val="32"/>
        </w:rPr>
        <w:t>第</w:t>
      </w:r>
      <w:r>
        <w:rPr>
          <w:rFonts w:hint="eastAsia" w:ascii="仿宋_GB2312" w:hAnsi="仿宋_GB2312" w:eastAsia="仿宋_GB2312" w:cs="仿宋_GB2312"/>
          <w:sz w:val="32"/>
          <w:szCs w:val="32"/>
        </w:rPr>
        <w:t>十五</w:t>
      </w:r>
      <w:r>
        <w:rPr>
          <w:rFonts w:ascii="仿宋_GB2312" w:hAnsi="仿宋_GB2312" w:eastAsia="仿宋_GB2312" w:cs="仿宋_GB2312"/>
          <w:sz w:val="32"/>
          <w:szCs w:val="32"/>
        </w:rPr>
        <w:t>条 借用书院场地举办活动的，需至少提前1个工作日在学校网上服务大厅填写《仁济书院场地使用申请表》，经所在</w:t>
      </w:r>
      <w:r>
        <w:rPr>
          <w:rFonts w:hint="eastAsia" w:ascii="仿宋_GB2312" w:hAnsi="仿宋_GB2312" w:eastAsia="仿宋_GB2312" w:cs="仿宋_GB2312"/>
          <w:sz w:val="32"/>
          <w:szCs w:val="32"/>
        </w:rPr>
        <w:t>部门单位</w:t>
      </w:r>
      <w:r>
        <w:rPr>
          <w:rFonts w:ascii="仿宋_GB2312" w:hAnsi="仿宋_GB2312" w:eastAsia="仿宋_GB2312" w:cs="仿宋_GB2312"/>
          <w:sz w:val="32"/>
          <w:szCs w:val="32"/>
        </w:rPr>
        <w:t>审核、书院复核通过后，方可使用。</w:t>
      </w:r>
    </w:p>
    <w:p w14:paraId="380045DB">
      <w:pPr>
        <w:spacing w:line="560" w:lineRule="exact"/>
        <w:ind w:firstLine="614" w:firstLineChars="200"/>
        <w:rPr>
          <w:rFonts w:ascii="仿宋_GB2312" w:hAnsi="仿宋_GB2312" w:eastAsia="仿宋_GB2312" w:cs="仿宋_GB2312"/>
          <w:sz w:val="32"/>
          <w:szCs w:val="32"/>
        </w:rPr>
      </w:pPr>
      <w:r>
        <w:rPr>
          <w:rFonts w:ascii="仿宋_GB2312" w:hAnsi="仿宋_GB2312" w:eastAsia="仿宋_GB2312" w:cs="仿宋_GB2312"/>
          <w:sz w:val="32"/>
          <w:szCs w:val="32"/>
        </w:rPr>
        <w:t>第十</w:t>
      </w:r>
      <w:r>
        <w:rPr>
          <w:rFonts w:hint="eastAsia" w:ascii="仿宋_GB2312" w:hAnsi="仿宋_GB2312" w:eastAsia="仿宋_GB2312" w:cs="仿宋_GB2312"/>
          <w:sz w:val="32"/>
          <w:szCs w:val="32"/>
        </w:rPr>
        <w:t>六</w:t>
      </w:r>
      <w:r>
        <w:rPr>
          <w:rFonts w:ascii="仿宋_GB2312" w:hAnsi="仿宋_GB2312" w:eastAsia="仿宋_GB2312" w:cs="仿宋_GB2312"/>
          <w:sz w:val="32"/>
          <w:szCs w:val="32"/>
        </w:rPr>
        <w:t>条 个人使用书院场地，应通过学校图书馆预约系统预约。书院设定场地总承载量，不设固定座位；未预约者可在承载量未满时，于门口扫码登记进场。</w:t>
      </w:r>
    </w:p>
    <w:p w14:paraId="4A51ADE1">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第十七条 书院安全管理遵循“谁使用、谁负责”的原则，构建学校、书院、借用单位、师生个人四级安全责任体系。</w:t>
      </w:r>
    </w:p>
    <w:p w14:paraId="3A88688E">
      <w:pPr>
        <w:spacing w:line="560" w:lineRule="exact"/>
        <w:ind w:firstLine="614" w:firstLineChars="200"/>
        <w:rPr>
          <w:rFonts w:ascii="仿宋_GB2312" w:hAnsi="仿宋_GB2312" w:eastAsia="仿宋_GB2312" w:cs="仿宋_GB2312"/>
          <w:sz w:val="32"/>
          <w:szCs w:val="32"/>
        </w:rPr>
      </w:pPr>
      <w:r>
        <w:rPr>
          <w:rFonts w:ascii="仿宋_GB2312" w:hAnsi="仿宋_GB2312" w:eastAsia="仿宋_GB2312" w:cs="仿宋_GB2312"/>
          <w:sz w:val="32"/>
          <w:szCs w:val="32"/>
        </w:rPr>
        <w:t>第</w:t>
      </w:r>
      <w:r>
        <w:rPr>
          <w:rFonts w:hint="eastAsia" w:ascii="仿宋_GB2312" w:hAnsi="仿宋_GB2312" w:eastAsia="仿宋_GB2312" w:cs="仿宋_GB2312"/>
          <w:sz w:val="32"/>
          <w:szCs w:val="32"/>
        </w:rPr>
        <w:t>十八</w:t>
      </w:r>
      <w:r>
        <w:rPr>
          <w:rFonts w:ascii="仿宋_GB2312" w:hAnsi="仿宋_GB2312" w:eastAsia="仿宋_GB2312" w:cs="仿宋_GB2312"/>
          <w:sz w:val="32"/>
          <w:szCs w:val="32"/>
        </w:rPr>
        <w:t>条 借用单位须明确2名场地负责人，其中至少1名为教师，负责活动全程组织协调、安全管理及场地</w:t>
      </w:r>
      <w:r>
        <w:rPr>
          <w:rFonts w:hint="eastAsia" w:ascii="仿宋_GB2312" w:hAnsi="仿宋_GB2312" w:eastAsia="仿宋_GB2312" w:cs="仿宋_GB2312"/>
          <w:sz w:val="32"/>
          <w:szCs w:val="32"/>
        </w:rPr>
        <w:t>卫生清扫</w:t>
      </w:r>
      <w:r>
        <w:rPr>
          <w:rFonts w:ascii="仿宋_GB2312" w:hAnsi="仿宋_GB2312" w:eastAsia="仿宋_GB2312" w:cs="仿宋_GB2312"/>
          <w:sz w:val="32"/>
          <w:szCs w:val="32"/>
        </w:rPr>
        <w:t>等工作。</w:t>
      </w:r>
    </w:p>
    <w:p w14:paraId="1E1FE4EF">
      <w:pPr>
        <w:spacing w:line="560" w:lineRule="exact"/>
        <w:ind w:firstLine="614" w:firstLineChars="200"/>
        <w:rPr>
          <w:rFonts w:ascii="仿宋_GB2312" w:hAnsi="仿宋_GB2312" w:eastAsia="仿宋_GB2312" w:cs="仿宋_GB2312"/>
          <w:sz w:val="32"/>
          <w:szCs w:val="32"/>
        </w:rPr>
      </w:pPr>
      <w:r>
        <w:rPr>
          <w:rFonts w:ascii="仿宋_GB2312" w:hAnsi="仿宋_GB2312" w:eastAsia="仿宋_GB2312" w:cs="仿宋_GB2312"/>
          <w:sz w:val="32"/>
          <w:szCs w:val="32"/>
        </w:rPr>
        <w:t>第</w:t>
      </w:r>
      <w:r>
        <w:rPr>
          <w:rFonts w:hint="eastAsia" w:ascii="仿宋_GB2312" w:hAnsi="仿宋_GB2312" w:eastAsia="仿宋_GB2312" w:cs="仿宋_GB2312"/>
          <w:sz w:val="32"/>
          <w:szCs w:val="32"/>
        </w:rPr>
        <w:t>十九</w:t>
      </w:r>
      <w:r>
        <w:rPr>
          <w:rFonts w:ascii="仿宋_GB2312" w:hAnsi="仿宋_GB2312" w:eastAsia="仿宋_GB2312" w:cs="仿宋_GB2312"/>
          <w:sz w:val="32"/>
          <w:szCs w:val="32"/>
        </w:rPr>
        <w:t>条 借用单位应严格按照申请用途使用场地，不得擅自改变活动内容、扩大使用范围或转借他人；确需调整的，须提前向书院报备并获批准。</w:t>
      </w:r>
    </w:p>
    <w:p w14:paraId="489E5407">
      <w:pPr>
        <w:spacing w:line="560" w:lineRule="exact"/>
        <w:ind w:firstLine="614" w:firstLineChars="200"/>
        <w:rPr>
          <w:rFonts w:ascii="仿宋_GB2312" w:hAnsi="仿宋_GB2312" w:eastAsia="仿宋_GB2312" w:cs="仿宋_GB2312"/>
          <w:sz w:val="32"/>
          <w:szCs w:val="32"/>
        </w:rPr>
      </w:pPr>
      <w:r>
        <w:rPr>
          <w:rFonts w:ascii="仿宋_GB2312" w:hAnsi="仿宋_GB2312" w:eastAsia="仿宋_GB2312" w:cs="仿宋_GB2312"/>
          <w:sz w:val="32"/>
          <w:szCs w:val="32"/>
        </w:rPr>
        <w:t>第</w:t>
      </w:r>
      <w:r>
        <w:rPr>
          <w:rFonts w:hint="eastAsia" w:ascii="仿宋_GB2312" w:hAnsi="仿宋_GB2312" w:eastAsia="仿宋_GB2312" w:cs="仿宋_GB2312"/>
          <w:sz w:val="32"/>
          <w:szCs w:val="32"/>
        </w:rPr>
        <w:t>二十</w:t>
      </w:r>
      <w:r>
        <w:rPr>
          <w:rFonts w:ascii="仿宋_GB2312" w:hAnsi="仿宋_GB2312" w:eastAsia="仿宋_GB2312" w:cs="仿宋_GB2312"/>
          <w:sz w:val="32"/>
          <w:szCs w:val="32"/>
        </w:rPr>
        <w:t>条 书院内特殊功能区域需在导师或专职工作人员指导下使用，投影、音响、科创设备等专业设施严禁非书院</w:t>
      </w:r>
      <w:r>
        <w:rPr>
          <w:rFonts w:hint="eastAsia" w:ascii="仿宋_GB2312" w:hAnsi="仿宋_GB2312" w:eastAsia="仿宋_GB2312" w:cs="仿宋_GB2312"/>
          <w:sz w:val="32"/>
          <w:szCs w:val="32"/>
        </w:rPr>
        <w:t>工作</w:t>
      </w:r>
      <w:r>
        <w:rPr>
          <w:rFonts w:ascii="仿宋_GB2312" w:hAnsi="仿宋_GB2312" w:eastAsia="仿宋_GB2312" w:cs="仿宋_GB2312"/>
          <w:sz w:val="32"/>
          <w:szCs w:val="32"/>
        </w:rPr>
        <w:t>人员擅自操作。</w:t>
      </w:r>
    </w:p>
    <w:p w14:paraId="7D0A7B03">
      <w:pPr>
        <w:spacing w:line="560" w:lineRule="exact"/>
        <w:ind w:firstLine="614" w:firstLineChars="200"/>
        <w:rPr>
          <w:rFonts w:ascii="黑体" w:hAnsi="黑体" w:eastAsia="黑体" w:cs="黑体"/>
          <w:sz w:val="32"/>
          <w:szCs w:val="32"/>
        </w:rPr>
      </w:pPr>
      <w:r>
        <w:rPr>
          <w:rFonts w:hint="eastAsia" w:ascii="仿宋_GB2312" w:hAnsi="仿宋_GB2312" w:eastAsia="仿宋_GB2312" w:cs="仿宋_GB2312"/>
          <w:sz w:val="32"/>
          <w:szCs w:val="32"/>
        </w:rPr>
        <w:t>第二十一条 严禁利用书院场地开展非法、不健康及与书院育人宗旨不符的活动，书院有权对活动内容进行审核，对违规活动予以制止并追究相关责任。</w:t>
      </w:r>
    </w:p>
    <w:p w14:paraId="161E2691">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第二十二条 学校为书院配齐配全防火、防盗、应急照明等安全设施，书院定期开展安全检查并建立台账，发现隐患及时整改或上报学校相关部门。</w:t>
      </w:r>
    </w:p>
    <w:p w14:paraId="1DBA418C">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第二十三条 借用单位组织活动前，须对参与人员开展安全教育、明确注意事项，配合书院工作人员清点设施、排查隐患；活动期间全程落实安全管控，严禁携带火种、易燃易爆品、化学危险品等危险物品入内。</w:t>
      </w:r>
    </w:p>
    <w:p w14:paraId="0D716C88">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第二十四条 任何单位或个人未经书院工作人员许可，不得擅自接线拉电、安装电器设备或改动场地原有设施；确需临时用电、调整设施的，须提前报备并由专业人员操作。</w:t>
      </w:r>
    </w:p>
    <w:p w14:paraId="535D5A9F">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第二十五条 书院工作人员做好值班及安全排查记录；借用单位若造成设备损坏、物品丢失或引发安全事故，须立即上报书院并配合调查处理，人为原因造成的损失由责任方照价赔偿。</w:t>
      </w:r>
    </w:p>
    <w:p w14:paraId="3F6A6EF6">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第二十六条 书院建立突发事件应急处置机制，明确应对流程；工作人员及师生发现安全隐患或紧急情况，须第一时间采取防范措施并上报，保障人身与财产安全。</w:t>
      </w:r>
    </w:p>
    <w:p w14:paraId="712FAE1A">
      <w:pPr>
        <w:spacing w:line="560" w:lineRule="exact"/>
        <w:rPr>
          <w:rFonts w:ascii="仿宋_GB2312" w:hAnsi="仿宋_GB2312" w:eastAsia="仿宋_GB2312" w:cs="仿宋_GB2312"/>
          <w:sz w:val="32"/>
          <w:szCs w:val="32"/>
        </w:rPr>
      </w:pPr>
    </w:p>
    <w:p w14:paraId="4D371A60">
      <w:pPr>
        <w:spacing w:line="560" w:lineRule="exact"/>
        <w:jc w:val="center"/>
        <w:rPr>
          <w:rFonts w:ascii="黑体" w:hAnsi="黑体" w:eastAsia="黑体" w:cs="黑体"/>
          <w:sz w:val="32"/>
          <w:szCs w:val="32"/>
        </w:rPr>
      </w:pPr>
      <w:r>
        <w:rPr>
          <w:rFonts w:hint="eastAsia" w:ascii="黑体" w:hAnsi="黑体" w:eastAsia="黑体" w:cs="黑体"/>
          <w:sz w:val="32"/>
          <w:szCs w:val="32"/>
        </w:rPr>
        <w:t>第六章 保障措施</w:t>
      </w:r>
    </w:p>
    <w:p w14:paraId="55FBA353">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第二十七条 学校设立书院专项经费，纳入年度预算，专款专用，由书院具体管理，接受财务与审计监督。</w:t>
      </w:r>
    </w:p>
    <w:p w14:paraId="1C27F62E">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第二十</w:t>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sz w:val="32"/>
          <w:szCs w:val="32"/>
        </w:rPr>
        <w:t>条 学校保障书院场地稳定使用，建立定期维护更新机制，确保安全运行。</w:t>
      </w:r>
    </w:p>
    <w:p w14:paraId="441BFE5B">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w:t>
      </w:r>
      <w:r>
        <w:rPr>
          <w:rFonts w:hint="eastAsia" w:ascii="仿宋_GB2312" w:hAnsi="仿宋_GB2312" w:eastAsia="仿宋_GB2312" w:cs="仿宋_GB2312"/>
          <w:sz w:val="32"/>
          <w:szCs w:val="32"/>
          <w:lang w:val="en-US" w:eastAsia="zh-CN"/>
        </w:rPr>
        <w:t>二十九</w:t>
      </w:r>
      <w:r>
        <w:rPr>
          <w:rFonts w:hint="eastAsia" w:ascii="仿宋_GB2312" w:hAnsi="仿宋_GB2312" w:eastAsia="仿宋_GB2312" w:cs="仿宋_GB2312"/>
          <w:sz w:val="32"/>
          <w:szCs w:val="32"/>
        </w:rPr>
        <w:t>条 学校支持书院整合校内教学、科研、图书等资源；鼓励拓展校外合作，共建实践基地，共享教育资源。</w:t>
      </w:r>
    </w:p>
    <w:p w14:paraId="00F9B304">
      <w:pPr>
        <w:spacing w:line="560" w:lineRule="exact"/>
        <w:ind w:firstLine="614" w:firstLineChars="200"/>
        <w:rPr>
          <w:rFonts w:ascii="仿宋_GB2312" w:hAnsi="仿宋_GB2312" w:eastAsia="仿宋_GB2312" w:cs="仿宋_GB2312"/>
          <w:sz w:val="32"/>
          <w:szCs w:val="32"/>
        </w:rPr>
      </w:pPr>
    </w:p>
    <w:p w14:paraId="06555EA6">
      <w:pPr>
        <w:spacing w:line="560" w:lineRule="exact"/>
        <w:jc w:val="center"/>
        <w:rPr>
          <w:rFonts w:ascii="黑体" w:hAnsi="黑体" w:eastAsia="黑体" w:cs="黑体"/>
          <w:sz w:val="32"/>
          <w:szCs w:val="32"/>
        </w:rPr>
      </w:pPr>
      <w:r>
        <w:rPr>
          <w:rFonts w:hint="eastAsia" w:ascii="黑体" w:hAnsi="黑体" w:eastAsia="黑体" w:cs="黑体"/>
          <w:sz w:val="32"/>
          <w:szCs w:val="32"/>
        </w:rPr>
        <w:t>第七章 附  则</w:t>
      </w:r>
    </w:p>
    <w:p w14:paraId="141CB0A5">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第三十条 仁济书院相关日常管理细则参照本办法制定。</w:t>
      </w:r>
    </w:p>
    <w:p w14:paraId="2BB15A9B">
      <w:pPr>
        <w:spacing w:line="560" w:lineRule="exact"/>
        <w:ind w:firstLine="614"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第三十</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条 本办法自发布之日起施行，由仁济书院负责解释。</w:t>
      </w:r>
    </w:p>
    <w:sectPr>
      <w:headerReference r:id="rId3" w:type="default"/>
      <w:footerReference r:id="rId4" w:type="default"/>
      <w:pgSz w:w="11906" w:h="16838"/>
      <w:pgMar w:top="1757" w:right="1587" w:bottom="1757" w:left="1587" w:header="851" w:footer="992" w:gutter="0"/>
      <w:cols w:space="0" w:num="1"/>
      <w:docGrid w:type="linesAndChars" w:linePitch="312" w:charSpace="-27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B6286">
    <w:pPr>
      <w:pStyle w:val="4"/>
      <w:tabs>
        <w:tab w:val="clear" w:pos="4153"/>
      </w:tabs>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4DCDCD6">
                          <w:pPr>
                            <w:pStyle w:val="4"/>
                            <w:rPr>
                              <w:rFonts w:ascii="宋体" w:hAnsi="宋体"/>
                              <w:sz w:val="24"/>
                            </w:rPr>
                          </w:pPr>
                          <w:r>
                            <w:rPr>
                              <w:rFonts w:hint="eastAsia" w:ascii="宋体" w:hAnsi="宋体"/>
                              <w:sz w:val="24"/>
                            </w:rPr>
                            <w:t xml:space="preserve">— </w:t>
                          </w:r>
                          <w:r>
                            <w:rPr>
                              <w:rFonts w:hint="eastAsia" w:ascii="宋体" w:hAnsi="宋体"/>
                              <w:sz w:val="24"/>
                            </w:rPr>
                            <w:fldChar w:fldCharType="begin"/>
                          </w:r>
                          <w:r>
                            <w:rPr>
                              <w:rFonts w:hint="eastAsia" w:ascii="宋体" w:hAnsi="宋体"/>
                              <w:sz w:val="24"/>
                            </w:rPr>
                            <w:instrText xml:space="preserve"> PAGE  \* MERGEFORMAT </w:instrText>
                          </w:r>
                          <w:r>
                            <w:rPr>
                              <w:rFonts w:hint="eastAsia" w:ascii="宋体" w:hAnsi="宋体"/>
                              <w:sz w:val="24"/>
                            </w:rPr>
                            <w:fldChar w:fldCharType="separate"/>
                          </w:r>
                          <w:r>
                            <w:rPr>
                              <w:rFonts w:ascii="宋体" w:hAnsi="宋体"/>
                              <w:sz w:val="24"/>
                            </w:rPr>
                            <w:t>3</w:t>
                          </w:r>
                          <w:r>
                            <w:rPr>
                              <w:rFonts w:hint="eastAsia" w:ascii="宋体" w:hAnsi="宋体"/>
                              <w:sz w:val="24"/>
                            </w:rPr>
                            <w:fldChar w:fldCharType="end"/>
                          </w:r>
                          <w:r>
                            <w:rPr>
                              <w:rFonts w:hint="eastAsia" w:ascii="宋体" w:hAnsi="宋体"/>
                              <w:sz w:val="24"/>
                            </w:rPr>
                            <w:t xml:space="preserve"> —</w:t>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JYnrP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Z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Alies8kBAACSAwAADgAAAAAAAAABACAAAAAfAQAAZHJzL2Uyb0Rv&#10;Yy54bWxQSwUGAAAAAAYABgBZAQAAWgUAAAAA&#10;">
              <v:fill on="f" focussize="0,0"/>
              <v:stroke on="f"/>
              <v:imagedata o:title=""/>
              <o:lock v:ext="edit" aspectratio="f"/>
              <v:textbox inset="0mm,0mm,0mm,0mm" style="mso-fit-shape-to-text:t;">
                <w:txbxContent>
                  <w:p w14:paraId="34DCDCD6">
                    <w:pPr>
                      <w:pStyle w:val="4"/>
                      <w:rPr>
                        <w:rFonts w:ascii="宋体" w:hAnsi="宋体"/>
                        <w:sz w:val="24"/>
                      </w:rPr>
                    </w:pPr>
                    <w:r>
                      <w:rPr>
                        <w:rFonts w:hint="eastAsia" w:ascii="宋体" w:hAnsi="宋体"/>
                        <w:sz w:val="24"/>
                      </w:rPr>
                      <w:t xml:space="preserve">— </w:t>
                    </w:r>
                    <w:r>
                      <w:rPr>
                        <w:rFonts w:hint="eastAsia" w:ascii="宋体" w:hAnsi="宋体"/>
                        <w:sz w:val="24"/>
                      </w:rPr>
                      <w:fldChar w:fldCharType="begin"/>
                    </w:r>
                    <w:r>
                      <w:rPr>
                        <w:rFonts w:hint="eastAsia" w:ascii="宋体" w:hAnsi="宋体"/>
                        <w:sz w:val="24"/>
                      </w:rPr>
                      <w:instrText xml:space="preserve"> PAGE  \* MERGEFORMAT </w:instrText>
                    </w:r>
                    <w:r>
                      <w:rPr>
                        <w:rFonts w:hint="eastAsia" w:ascii="宋体" w:hAnsi="宋体"/>
                        <w:sz w:val="24"/>
                      </w:rPr>
                      <w:fldChar w:fldCharType="separate"/>
                    </w:r>
                    <w:r>
                      <w:rPr>
                        <w:rFonts w:ascii="宋体" w:hAnsi="宋体"/>
                        <w:sz w:val="24"/>
                      </w:rPr>
                      <w:t>3</w:t>
                    </w:r>
                    <w:r>
                      <w:rPr>
                        <w:rFonts w:hint="eastAsia" w:ascii="宋体" w:hAnsi="宋体"/>
                        <w:sz w:val="24"/>
                      </w:rPr>
                      <w:fldChar w:fldCharType="end"/>
                    </w:r>
                    <w:r>
                      <w:rPr>
                        <w:rFonts w:hint="eastAsia" w:ascii="宋体" w:hAnsi="宋体"/>
                        <w:sz w:val="24"/>
                      </w:rPr>
                      <w:t xml:space="preserve"> —</w:t>
                    </w:r>
                  </w:p>
                </w:txbxContent>
              </v:textbox>
            </v:rect>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E0ABB">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5B2"/>
    <w:rsid w:val="00A165B2"/>
    <w:rsid w:val="00C56E0D"/>
    <w:rsid w:val="00DF65F5"/>
    <w:rsid w:val="00E5465C"/>
    <w:rsid w:val="00E66A15"/>
    <w:rsid w:val="06E3281F"/>
    <w:rsid w:val="2F39743B"/>
    <w:rsid w:val="3B272F35"/>
    <w:rsid w:val="3EEE694E"/>
    <w:rsid w:val="44BC4AF9"/>
    <w:rsid w:val="463269AC"/>
    <w:rsid w:val="65DD0904"/>
    <w:rsid w:val="65E00455"/>
    <w:rsid w:val="7F393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2"/>
    <w:qFormat/>
    <w:uiPriority w:val="0"/>
    <w:rPr>
      <w:b/>
      <w:bCs/>
    </w:rPr>
  </w:style>
  <w:style w:type="character" w:styleId="9">
    <w:name w:val="Strong"/>
    <w:basedOn w:val="8"/>
    <w:qFormat/>
    <w:uiPriority w:val="0"/>
    <w:rPr>
      <w:b/>
    </w:rPr>
  </w:style>
  <w:style w:type="character" w:styleId="10">
    <w:name w:val="annotation reference"/>
    <w:basedOn w:val="8"/>
    <w:qFormat/>
    <w:uiPriority w:val="0"/>
    <w:rPr>
      <w:sz w:val="21"/>
      <w:szCs w:val="21"/>
    </w:rPr>
  </w:style>
  <w:style w:type="character" w:customStyle="1" w:styleId="11">
    <w:name w:val="批注文字 字符"/>
    <w:basedOn w:val="8"/>
    <w:link w:val="2"/>
    <w:qFormat/>
    <w:uiPriority w:val="0"/>
    <w:rPr>
      <w:rFonts w:ascii="Calibri" w:hAnsi="Calibri" w:eastAsia="宋体" w:cs="宋体"/>
      <w:kern w:val="2"/>
      <w:sz w:val="21"/>
      <w:szCs w:val="24"/>
    </w:rPr>
  </w:style>
  <w:style w:type="character" w:customStyle="1" w:styleId="12">
    <w:name w:val="批注主题 字符"/>
    <w:basedOn w:val="11"/>
    <w:link w:val="6"/>
    <w:qFormat/>
    <w:uiPriority w:val="0"/>
    <w:rPr>
      <w:rFonts w:ascii="Calibri" w:hAnsi="Calibri" w:eastAsia="宋体" w:cs="宋体"/>
      <w:b/>
      <w:bCs/>
      <w:kern w:val="2"/>
      <w:sz w:val="21"/>
      <w:szCs w:val="24"/>
    </w:rPr>
  </w:style>
  <w:style w:type="character" w:customStyle="1" w:styleId="13">
    <w:name w:val="批注框文本 字符"/>
    <w:basedOn w:val="8"/>
    <w:link w:val="3"/>
    <w:qFormat/>
    <w:uiPriority w:val="0"/>
    <w:rPr>
      <w:rFonts w:ascii="Calibri" w:hAnsi="Calibri" w:eastAsia="宋体" w:cs="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2450</Words>
  <Characters>2501</Characters>
  <Lines>20</Lines>
  <Paragraphs>5</Paragraphs>
  <TotalTime>0</TotalTime>
  <ScaleCrop>false</ScaleCrop>
  <LinksUpToDate>false</LinksUpToDate>
  <CharactersWithSpaces>2543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2026-01-14T23:30:00Z</dcterms:created>
  <dc:creator>唐哲涵</dc:creator>
  <cp:lastModifiedBy>hallococo</cp:lastModifiedBy>
  <cp:lastPrinted>2026-03-30T11:53:00Z</cp:lastPrinted>
  <dcterms:modified xsi:type="dcterms:W3CDTF">2026-04-07T09:41:19Z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056F7B76E49A4D149A58A858D31BB538_13</vt:lpwstr>
  </property>
  <property fmtid="{D5CDD505-2E9C-101B-9397-08002B2CF9AE}" pid="4" name="KSOTemplateDocerSaveRecord">
    <vt:lpwstr>eyJoZGlkIjoiMGQ1MGNkODhhYmJiZTE2NjNjZjE1NGM5MjYyZjNiYTEiLCJ1c2VySWQiOiIzNjU1MTcxNTUifQ==</vt:lpwstr>
  </property>
</Properties>
</file>